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PRADEDAMUS PIRKIMUS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Paslaugų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Pasvalio rajono savivaldybės administracija, 188753657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Vytauto Didžiojo a. 1, LT-39143 Pasvalys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Živilė Kripaitienė, tel. (8 451) 54 039, faks. (8 451) 54 134, el. paštas z.kripaitiene@pasvalys.lt, interneto adresas www.pasvalys.lt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Kreditinės linijos investiciniams projektams finansuoti paslaugos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Pasvalio rajono savivaldybės administracija numato pirkti 1500000,00 litų kreditinę liniją investiciniams projektams finansuoti 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paslaugos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 IR JO PASIRINKIMO PRIEŽASTYS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</w:t>
      </w:r>
      <w:r>
        <w:rPr>
          <w:rFonts w:ascii="Times New Roman" w:hAnsi="Times New Roman" w:cs="Times New Roman"/>
          <w:sz w:val="24"/>
          <w:szCs w:val="24"/>
        </w:rPr>
        <w:t xml:space="preserve">: supaprastintas atviras konkursas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 xml:space="preserve">: pirkimas vykdomas vadovaujantis Viešųjų pirkimų įstatymo 84 str. 1 p.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2014-11-19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2014-11-24T06:37:49+00:00</dcterms:created>
  <dcterms:modified xsi:type="dcterms:W3CDTF">2014-11-24T06:37:49+00:00</dcterms:modified>
</cp:coreProperties>
</file>