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bookmarkStart w:id="0" w:name="_GoBack"/>
      <w:r w:rsidRPr="004B6DE9">
        <w:rPr>
          <w:rFonts w:eastAsia="Times New Roman" w:cs="Times New Roman"/>
          <w:color w:val="343434"/>
          <w:szCs w:val="24"/>
          <w:lang w:eastAsia="lt-LT"/>
        </w:rPr>
        <w:t>Pasvirasis (įžambusis) brūkšnys paprastai vartojamas tam tikrai alternatyvai žymėti (atitinka jungtuką </w:t>
      </w: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arba</w:t>
      </w:r>
      <w:r w:rsidRPr="004B6DE9">
        <w:rPr>
          <w:rFonts w:eastAsia="Times New Roman" w:cs="Times New Roman"/>
          <w:color w:val="343434"/>
          <w:szCs w:val="24"/>
          <w:lang w:eastAsia="lt-LT"/>
        </w:rPr>
        <w:t>) ir yra rašomas šiais atvejais: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tarp telefono ir fakso sutrumpinimų, jei jų numeris tas pats: </w:t>
      </w: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Tel. / faks. (8 446) 52 11;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tarp alternatyvių gramatinių formų ar konstrukcijų, galinčių viena kitą pakeisti: </w:t>
      </w: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Jis atsikratė įkyraus pašnekovo / įkyriu pašnekovu / nuo įkyraus pašnekovo</w:t>
      </w:r>
      <w:r w:rsidRPr="004B6DE9">
        <w:rPr>
          <w:rFonts w:eastAsia="Times New Roman" w:cs="Times New Roman"/>
          <w:color w:val="343434"/>
          <w:szCs w:val="24"/>
          <w:lang w:eastAsia="lt-LT"/>
        </w:rPr>
        <w:t>;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tarp pasakymų keliomis kalbomis, pvz., valgiaraštyje (meniu): </w:t>
      </w: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Sriuba / Soup</w:t>
      </w:r>
      <w:r w:rsidRPr="004B6DE9">
        <w:rPr>
          <w:rFonts w:eastAsia="Times New Roman" w:cs="Times New Roman"/>
          <w:color w:val="343434"/>
          <w:szCs w:val="24"/>
          <w:lang w:eastAsia="lt-LT"/>
        </w:rPr>
        <w:t>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Atkreiptinas dėmesys, kad vartojant pasvirtąjį brūkšnį tarp žodžių ar jų sutrumpinimų abipus brūkšnio paliekami tarpai. Vis dėlto rišliame tekste alternatyvai reikšti pirmiausia vartotinos žodinės raiškos priemonės – jungtukai ar, arba, pvz., Jums </w:t>
      </w: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kavos ar arbatos?</w:t>
      </w:r>
      <w:r w:rsidRPr="004B6DE9">
        <w:rPr>
          <w:rFonts w:eastAsia="Times New Roman" w:cs="Times New Roman"/>
          <w:color w:val="343434"/>
          <w:szCs w:val="24"/>
          <w:lang w:eastAsia="lt-LT"/>
        </w:rPr>
        <w:t>; iš ženklų pirmiausia – skliaustai, pvz., </w:t>
      </w: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ir (ar). </w:t>
      </w:r>
      <w:r w:rsidRPr="004B6DE9">
        <w:rPr>
          <w:rFonts w:eastAsia="Times New Roman" w:cs="Times New Roman"/>
          <w:color w:val="343434"/>
          <w:szCs w:val="24"/>
          <w:lang w:eastAsia="lt-LT"/>
        </w:rPr>
        <w:t>Tokiais atvejais pasvirasis brūkšnys netinka, taip pat ir norint pateikti abiejų giminių formas – tinka skliaustai, pvz.: </w:t>
      </w: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Reikalingi padavėjai (-os)</w:t>
      </w:r>
      <w:r w:rsidRPr="004B6DE9">
        <w:rPr>
          <w:rFonts w:eastAsia="Times New Roman" w:cs="Times New Roman"/>
          <w:color w:val="343434"/>
          <w:szCs w:val="24"/>
          <w:lang w:eastAsia="lt-LT"/>
        </w:rPr>
        <w:t>.</w:t>
      </w:r>
    </w:p>
    <w:p w:rsidR="004B6DE9" w:rsidRPr="004B6DE9" w:rsidRDefault="004B6DE9" w:rsidP="004B6DE9">
      <w:pPr>
        <w:numPr>
          <w:ilvl w:val="0"/>
          <w:numId w:val="1"/>
        </w:numPr>
        <w:spacing w:after="0" w:line="240" w:lineRule="auto"/>
        <w:ind w:left="585"/>
        <w:jc w:val="both"/>
        <w:rPr>
          <w:rFonts w:eastAsia="Times New Roman" w:cs="Times New Roman"/>
          <w:color w:val="364A51"/>
          <w:szCs w:val="24"/>
          <w:lang w:eastAsia="lt-LT"/>
        </w:rPr>
      </w:pPr>
      <w:r w:rsidRPr="004B6DE9">
        <w:rPr>
          <w:rFonts w:eastAsia="Times New Roman" w:cs="Times New Roman"/>
          <w:color w:val="364A51"/>
          <w:szCs w:val="24"/>
          <w:lang w:eastAsia="lt-LT"/>
        </w:rPr>
        <w:t>Taip pat pasvirasis (įžambusis) brūkšnys vartojamas žymint tam tikras dimensijas, kai reikia nurodyti kokio nors fizinio dydžio santykį su pasirinktos vienetų sistemos pagrindiniais dydžiais, pvz., </w:t>
      </w:r>
      <w:r w:rsidRPr="004B6DE9">
        <w:rPr>
          <w:rFonts w:eastAsia="Times New Roman" w:cs="Times New Roman"/>
          <w:i/>
          <w:iCs/>
          <w:color w:val="364A51"/>
          <w:szCs w:val="24"/>
          <w:lang w:eastAsia="lt-LT"/>
        </w:rPr>
        <w:t>Vėjas 6–8 m/s </w:t>
      </w:r>
      <w:r w:rsidRPr="004B6DE9">
        <w:rPr>
          <w:rFonts w:eastAsia="Times New Roman" w:cs="Times New Roman"/>
          <w:color w:val="364A51"/>
          <w:szCs w:val="24"/>
          <w:lang w:eastAsia="lt-LT"/>
        </w:rPr>
        <w:t>(metrų per sekundę).</w:t>
      </w:r>
    </w:p>
    <w:p w:rsidR="004B6DE9" w:rsidRPr="004B6DE9" w:rsidRDefault="004B6DE9" w:rsidP="004B6DE9">
      <w:pPr>
        <w:numPr>
          <w:ilvl w:val="0"/>
          <w:numId w:val="1"/>
        </w:numPr>
        <w:spacing w:after="0" w:line="240" w:lineRule="auto"/>
        <w:ind w:left="585"/>
        <w:jc w:val="both"/>
        <w:rPr>
          <w:rFonts w:eastAsia="Times New Roman" w:cs="Times New Roman"/>
          <w:color w:val="364A51"/>
          <w:szCs w:val="24"/>
          <w:lang w:eastAsia="lt-LT"/>
        </w:rPr>
      </w:pPr>
      <w:r w:rsidRPr="004B6DE9">
        <w:rPr>
          <w:rFonts w:eastAsia="Times New Roman" w:cs="Times New Roman"/>
          <w:color w:val="364A51"/>
          <w:szCs w:val="24"/>
          <w:lang w:eastAsia="lt-LT"/>
        </w:rPr>
        <w:t>Pasviruoju brūkšniu atskiriama tam tikra informacijos dalis dokumentų indeksuose, kompiuterių programose, bibliografiniuose aprašuose, pvz.: </w:t>
      </w:r>
      <w:r w:rsidRPr="004B6DE9">
        <w:rPr>
          <w:rFonts w:eastAsia="Times New Roman" w:cs="Times New Roman"/>
          <w:i/>
          <w:iCs/>
          <w:color w:val="364A51"/>
          <w:szCs w:val="24"/>
          <w:lang w:eastAsia="lt-LT"/>
        </w:rPr>
        <w:t>rašto Nr. 35/509</w:t>
      </w:r>
      <w:r w:rsidRPr="004B6DE9">
        <w:rPr>
          <w:rFonts w:eastAsia="Times New Roman" w:cs="Times New Roman"/>
          <w:color w:val="364A51"/>
          <w:szCs w:val="24"/>
          <w:lang w:eastAsia="lt-LT"/>
        </w:rPr>
        <w:t>; </w:t>
      </w:r>
      <w:r w:rsidRPr="004B6DE9">
        <w:rPr>
          <w:rFonts w:eastAsia="Times New Roman" w:cs="Times New Roman"/>
          <w:i/>
          <w:iCs/>
          <w:color w:val="364A51"/>
          <w:szCs w:val="24"/>
          <w:lang w:eastAsia="lt-LT"/>
        </w:rPr>
        <w:t>Europos Tarybos</w:t>
      </w:r>
      <w:r w:rsidRPr="004B6DE9">
        <w:rPr>
          <w:rFonts w:eastAsia="Times New Roman" w:cs="Times New Roman"/>
          <w:color w:val="364A51"/>
          <w:szCs w:val="24"/>
          <w:lang w:eastAsia="lt-LT"/>
        </w:rPr>
        <w:t> </w:t>
      </w:r>
      <w:r w:rsidRPr="004B6DE9">
        <w:rPr>
          <w:rFonts w:eastAsia="Times New Roman" w:cs="Times New Roman"/>
          <w:i/>
          <w:iCs/>
          <w:color w:val="364A51"/>
          <w:szCs w:val="24"/>
          <w:lang w:eastAsia="lt-LT"/>
        </w:rPr>
        <w:t>direktyva 76/308/EEB</w:t>
      </w:r>
      <w:r w:rsidRPr="004B6DE9">
        <w:rPr>
          <w:rFonts w:eastAsia="Times New Roman" w:cs="Times New Roman"/>
          <w:color w:val="364A51"/>
          <w:szCs w:val="24"/>
          <w:lang w:eastAsia="lt-LT"/>
        </w:rPr>
        <w:t>; www.vlkk.lt/naujienos.</w:t>
      </w:r>
    </w:p>
    <w:p w:rsidR="004B6DE9" w:rsidRPr="004B6DE9" w:rsidRDefault="004B6DE9" w:rsidP="004B6DE9">
      <w:pPr>
        <w:numPr>
          <w:ilvl w:val="0"/>
          <w:numId w:val="1"/>
        </w:numPr>
        <w:spacing w:after="0" w:line="240" w:lineRule="auto"/>
        <w:ind w:left="585"/>
        <w:jc w:val="both"/>
        <w:rPr>
          <w:rFonts w:eastAsia="Times New Roman" w:cs="Times New Roman"/>
          <w:color w:val="364A51"/>
          <w:szCs w:val="24"/>
          <w:lang w:eastAsia="lt-LT"/>
        </w:rPr>
      </w:pPr>
      <w:r w:rsidRPr="004B6DE9">
        <w:rPr>
          <w:rFonts w:eastAsia="Times New Roman" w:cs="Times New Roman"/>
          <w:color w:val="364A51"/>
          <w:szCs w:val="24"/>
          <w:lang w:eastAsia="lt-LT"/>
        </w:rPr>
        <w:t>Pasvirasis brūkšnys </w:t>
      </w:r>
      <w:r w:rsidRPr="004B6DE9">
        <w:rPr>
          <w:rFonts w:eastAsia="Times New Roman" w:cs="Times New Roman"/>
          <w:i/>
          <w:iCs/>
          <w:color w:val="364A51"/>
          <w:szCs w:val="24"/>
          <w:lang w:eastAsia="lt-LT"/>
        </w:rPr>
        <w:t>nerašomas: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- tarp žodžių santrumpų: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asmens kodas – a. k. (ne a/k);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atsiskaitomoji sąskaita – a. s. (ne a/s);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įmonės kodas – į. k. (ne į/k);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i/>
          <w:iCs/>
          <w:color w:val="343434"/>
          <w:szCs w:val="24"/>
          <w:lang w:eastAsia="lt-LT"/>
        </w:rPr>
        <w:t>banko kodas – b. k. (ne b/k).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- nurodant metų ribas: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2012–2013 m. (ne 2012/2013 m.)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lastRenderedPageBreak/>
        <w:t>Skaičiai, žymintys daiktų kiekį, rašomi arabiškais skaitmenimis, pvz.: 3 moterys, 5 vaikai, 21 puslapis, 10 mašinų, 23 mokiniai, 9 vnt.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 Skaičiai, žymintys daiktų eilę, gali būti rašomi ir romėniškais, ir arabiškais skaitmenimis, pvz.: XX amžius, I klasė, III tomas, VII skyrius, I dalis, V kategorija;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5 pavyzdys, 6 lentelė, 4 priedas, 10 valanda, 34 tomas.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Šimtmečių, dramos veiksmų, knygos skyrių, konferencijų eilė paprastai žymima romėniškais skaitmenimis, o metų, dienų, valandų, puslapių, mokyklų, gatvių, numerių eilė – arabiškais skaitmenimis. Be to, arabiškais skaitmenimis paprastai rašomi dideli skaičiai.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Žymint eilę arabiškais skaitmenimis, prie jų po brūkšnelio gali būti pridedamos kelintinio skaitvardžio galūnės, ypač sakinyje,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pvz.: 12-as kvadratas,  1-a kategorija, 8-asis pulkas, 33-iaisiais amžiaus metais, 100-asis koncertas, 50-osios metinės, 3-ioji vidurinė mokykla, 1-asis asmuo, Kovo 11-osios g.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Dokumentų  dalys, punktai numeruojami arabiškais skaitmenimis su taškais. Punktas gali būti pažymėtas skaitmenimis, rodančiais skyrių, poskyrį,  punktą ir papunktį, pvz.,  3.1 punktas.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u w:val="single"/>
          <w:lang w:eastAsia="lt-LT"/>
        </w:rPr>
        <w:t>Pastabos.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Galūnė pridedama kartu su kamiengalio minkštumo ženklu, pvz., 2-ioji (ne 2-oji).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Prie romėniškų skaitmenų galūnės nededamos, pvz.: I aukštas (ne I-as aukštas), II vieta (ne II-oji vieta), III kategorija (ne III-ioji kategorija).</w:t>
      </w:r>
    </w:p>
    <w:p w:rsidR="004B6DE9" w:rsidRPr="004B6DE9" w:rsidRDefault="004B6DE9" w:rsidP="004B6DE9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4B6DE9">
        <w:rPr>
          <w:rFonts w:eastAsia="Times New Roman" w:cs="Times New Roman"/>
          <w:color w:val="343434"/>
          <w:szCs w:val="24"/>
          <w:lang w:eastAsia="lt-LT"/>
        </w:rPr>
        <w:t>Dideli skaičiai, pradedant tūkstančiu, gali būti žymimi skaitmenimis ir žodžiais arba jų sutrumpinimais, pvz.: 10 tūkstančių arba 10 tūkst.; 2 milijonai arba 2 mln.</w:t>
      </w:r>
    </w:p>
    <w:p w:rsidR="004B6DE9" w:rsidRPr="004B6DE9" w:rsidRDefault="004B6DE9" w:rsidP="004B6DE9">
      <w:pPr>
        <w:spacing w:before="300" w:after="300" w:line="240" w:lineRule="auto"/>
        <w:jc w:val="both"/>
        <w:outlineLvl w:val="2"/>
        <w:rPr>
          <w:rFonts w:eastAsia="Times New Roman" w:cs="Times New Roman"/>
          <w:color w:val="364A51"/>
          <w:szCs w:val="24"/>
          <w:lang w:eastAsia="lt-LT"/>
        </w:rPr>
      </w:pPr>
      <w:r w:rsidRPr="004B6DE9">
        <w:rPr>
          <w:rFonts w:eastAsia="Times New Roman" w:cs="Times New Roman"/>
          <w:color w:val="364A51"/>
          <w:szCs w:val="24"/>
          <w:lang w:eastAsia="lt-LT"/>
        </w:rPr>
        <w:t>Pastabos.</w:t>
      </w:r>
    </w:p>
    <w:p w:rsidR="004B6DE9" w:rsidRPr="004B6DE9" w:rsidRDefault="004B6DE9" w:rsidP="004B6DE9">
      <w:pPr>
        <w:spacing w:before="300" w:after="300" w:line="240" w:lineRule="auto"/>
        <w:jc w:val="both"/>
        <w:outlineLvl w:val="2"/>
        <w:rPr>
          <w:rFonts w:eastAsia="Times New Roman" w:cs="Times New Roman"/>
          <w:color w:val="364A51"/>
          <w:szCs w:val="24"/>
          <w:lang w:eastAsia="lt-LT"/>
        </w:rPr>
      </w:pPr>
      <w:r w:rsidRPr="004B6DE9">
        <w:rPr>
          <w:rFonts w:eastAsia="Times New Roman" w:cs="Times New Roman"/>
          <w:color w:val="364A51"/>
          <w:szCs w:val="24"/>
          <w:lang w:eastAsia="lt-LT"/>
        </w:rPr>
        <w:t>Dešimtainės ir  šimtainės skiriamos kableliais, pvz.: 3,5 kg (ne 3.5 kg),   0,45  g (ne 0.45 g).</w:t>
      </w:r>
    </w:p>
    <w:p w:rsidR="004B6DE9" w:rsidRPr="004B6DE9" w:rsidRDefault="004B6DE9" w:rsidP="004B6DE9">
      <w:pPr>
        <w:spacing w:before="300" w:after="300" w:line="240" w:lineRule="auto"/>
        <w:jc w:val="both"/>
        <w:outlineLvl w:val="2"/>
        <w:rPr>
          <w:rFonts w:eastAsia="Times New Roman" w:cs="Times New Roman"/>
          <w:color w:val="364A51"/>
          <w:szCs w:val="24"/>
          <w:lang w:eastAsia="lt-LT"/>
        </w:rPr>
      </w:pPr>
      <w:r w:rsidRPr="004B6DE9">
        <w:rPr>
          <w:rFonts w:eastAsia="Times New Roman" w:cs="Times New Roman"/>
          <w:color w:val="364A51"/>
          <w:szCs w:val="24"/>
          <w:lang w:eastAsia="lt-LT"/>
        </w:rPr>
        <w:t>Dideli skaičiai žymimi grupuojamais skaitmenimis, pvz.: 5 000, 20 000, 100 000, 1 000 000, 1 000 000 000. Tarp skaitmenų grupių nededamas nei kablelis, nei taškas. </w:t>
      </w:r>
    </w:p>
    <w:bookmarkEnd w:id="0"/>
    <w:p w:rsidR="001E7333" w:rsidRPr="004B6DE9" w:rsidRDefault="001E7333">
      <w:pPr>
        <w:rPr>
          <w:rFonts w:cs="Times New Roman"/>
          <w:szCs w:val="24"/>
        </w:rPr>
      </w:pPr>
    </w:p>
    <w:sectPr w:rsidR="001E7333" w:rsidRPr="004B6D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115B"/>
    <w:multiLevelType w:val="multilevel"/>
    <w:tmpl w:val="F7B20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E9"/>
    <w:rsid w:val="001E7333"/>
    <w:rsid w:val="003752A0"/>
    <w:rsid w:val="004B6DE9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E4CC-BE8D-46F2-A2CD-2C553B29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6DE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6DE9"/>
    <w:rPr>
      <w:rFonts w:eastAsia="Times New Roman" w:cs="Times New Roman"/>
      <w:b/>
      <w:bCs/>
      <w:sz w:val="27"/>
      <w:szCs w:val="27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4B6D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4B6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2021-06-25T06:14:00Z</dcterms:created>
  <dcterms:modified xsi:type="dcterms:W3CDTF">2021-06-25T06:14:00Z</dcterms:modified>
</cp:coreProperties>
</file>