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00F61" w14:textId="444AD055" w:rsidR="00D23986" w:rsidRPr="00DA5555" w:rsidRDefault="00EA29D8">
      <w:pPr>
        <w:rPr>
          <w:rFonts w:cstheme="minorHAnsi"/>
          <w:b/>
          <w:bCs/>
          <w:sz w:val="20"/>
          <w:szCs w:val="20"/>
          <w:lang w:val="lt-LT"/>
        </w:rPr>
      </w:pPr>
      <w:bookmarkStart w:id="0" w:name="_Hlk48122156"/>
      <w:r w:rsidRPr="00DA5555">
        <w:rPr>
          <w:rFonts w:cstheme="minorHAnsi"/>
          <w:b/>
          <w:bCs/>
          <w:sz w:val="20"/>
          <w:szCs w:val="20"/>
          <w:lang w:val="lt-LT"/>
        </w:rPr>
        <w:t>PRANEŠIMAS ŽINIASKLAIDAI</w:t>
      </w:r>
    </w:p>
    <w:p w14:paraId="0099C082" w14:textId="377BF4FC" w:rsidR="00BE7A34" w:rsidRPr="00DA5555" w:rsidRDefault="00DC4CEA" w:rsidP="00DC4CEA">
      <w:pPr>
        <w:rPr>
          <w:rFonts w:cstheme="minorHAnsi"/>
          <w:b/>
          <w:bCs/>
          <w:sz w:val="20"/>
          <w:szCs w:val="20"/>
          <w:lang w:val="lt-LT"/>
        </w:rPr>
      </w:pPr>
      <w:r w:rsidRPr="00DA5555">
        <w:rPr>
          <w:rFonts w:cstheme="minorHAnsi"/>
          <w:b/>
          <w:bCs/>
          <w:sz w:val="20"/>
          <w:szCs w:val="20"/>
          <w:lang w:val="lt-LT"/>
        </w:rPr>
        <w:t>202</w:t>
      </w:r>
      <w:r w:rsidR="00A81159" w:rsidRPr="00DA5555">
        <w:rPr>
          <w:rFonts w:cstheme="minorHAnsi"/>
          <w:b/>
          <w:bCs/>
          <w:sz w:val="20"/>
          <w:szCs w:val="20"/>
          <w:lang w:val="lt-LT"/>
        </w:rPr>
        <w:t>1</w:t>
      </w:r>
      <w:r w:rsidRPr="00DA5555">
        <w:rPr>
          <w:rFonts w:cstheme="minorHAnsi"/>
          <w:b/>
          <w:bCs/>
          <w:sz w:val="20"/>
          <w:szCs w:val="20"/>
          <w:lang w:val="lt-LT"/>
        </w:rPr>
        <w:t>-</w:t>
      </w:r>
      <w:r w:rsidR="00AC6DC1" w:rsidRPr="00DA5555">
        <w:rPr>
          <w:rFonts w:cstheme="minorHAnsi"/>
          <w:b/>
          <w:bCs/>
          <w:sz w:val="20"/>
          <w:szCs w:val="20"/>
          <w:lang w:val="lt-LT"/>
        </w:rPr>
        <w:t>1</w:t>
      </w:r>
      <w:r w:rsidR="00DA5555" w:rsidRPr="00DA5555">
        <w:rPr>
          <w:rFonts w:cstheme="minorHAnsi"/>
          <w:b/>
          <w:bCs/>
          <w:sz w:val="20"/>
          <w:szCs w:val="20"/>
          <w:lang w:val="lt-LT"/>
        </w:rPr>
        <w:t>1</w:t>
      </w:r>
      <w:r w:rsidRPr="00DA5555">
        <w:rPr>
          <w:rFonts w:cstheme="minorHAnsi"/>
          <w:b/>
          <w:bCs/>
          <w:sz w:val="20"/>
          <w:szCs w:val="20"/>
          <w:lang w:val="lt-LT"/>
        </w:rPr>
        <w:t>-</w:t>
      </w:r>
      <w:r w:rsidR="00DA5555" w:rsidRPr="00DA5555">
        <w:rPr>
          <w:rFonts w:cstheme="minorHAnsi"/>
          <w:b/>
          <w:bCs/>
          <w:sz w:val="20"/>
          <w:szCs w:val="20"/>
          <w:lang w:val="lt-LT"/>
        </w:rPr>
        <w:t>26</w:t>
      </w:r>
    </w:p>
    <w:p w14:paraId="6E994532" w14:textId="77777777" w:rsidR="00DA5555" w:rsidRPr="00DA5555" w:rsidRDefault="00DA5555" w:rsidP="00DA5555">
      <w:pPr>
        <w:rPr>
          <w:b/>
          <w:sz w:val="24"/>
          <w:szCs w:val="24"/>
          <w:lang w:val="lt-LT"/>
        </w:rPr>
      </w:pPr>
    </w:p>
    <w:p w14:paraId="71E2A500" w14:textId="47AD239C" w:rsidR="00DA5555" w:rsidRPr="00DA5555" w:rsidRDefault="00DA5555" w:rsidP="00DA5555">
      <w:pPr>
        <w:spacing w:line="360" w:lineRule="auto"/>
        <w:ind w:left="720"/>
        <w:jc w:val="center"/>
        <w:rPr>
          <w:b/>
          <w:color w:val="000000"/>
          <w:sz w:val="28"/>
          <w:szCs w:val="28"/>
          <w:lang w:val="lt-LT" w:eastAsia="lt-LT"/>
        </w:rPr>
      </w:pPr>
      <w:bookmarkStart w:id="1" w:name="_GoBack"/>
      <w:r w:rsidRPr="00DA5555">
        <w:rPr>
          <w:b/>
          <w:sz w:val="28"/>
          <w:szCs w:val="28"/>
          <w:lang w:val="lt-LT"/>
        </w:rPr>
        <w:t>Radiacinės saugos centras: radioaktyviomis medžiagomis užteršto metalų laužo neaptikta</w:t>
      </w:r>
    </w:p>
    <w:p w14:paraId="1EE0D4F5" w14:textId="77777777" w:rsidR="00DA5555" w:rsidRPr="00DA5555" w:rsidRDefault="00DA5555" w:rsidP="00DA5555">
      <w:pPr>
        <w:spacing w:line="360" w:lineRule="auto"/>
        <w:ind w:firstLine="720"/>
        <w:jc w:val="both"/>
        <w:rPr>
          <w:color w:val="000000"/>
          <w:sz w:val="24"/>
          <w:szCs w:val="24"/>
          <w:lang w:val="lt-LT" w:eastAsia="lt-LT"/>
        </w:rPr>
      </w:pPr>
      <w:r w:rsidRPr="00DA5555">
        <w:rPr>
          <w:color w:val="000000"/>
          <w:sz w:val="24"/>
          <w:szCs w:val="24"/>
          <w:lang w:val="lt-LT" w:eastAsia="lt-LT"/>
        </w:rPr>
        <w:t>Lietuvoje, kaip ir visame pasaulyje, aktyviai veikia antrinių žaliavų perdirbimo įmonės, superkančios ar perdirbančios metalų laužą. Pasitaiko atvejų, kai į metalų laužą patenka radioaktyviosiomis medžiagomis užterštų įrenginių detalių, naftotiekių, dujotiekių ar vandentiekių vamzdžių, kuriuose per ilgą laiką susikaupė nuosėdų su gamtinės kilmės radionuklidais, tačiau didžiausią grėsmę žmonėms ir aplinkai kelia į metalų laužą patekę prietaisai su uždaraisiais radioaktyviaisiais šaltiniais</w:t>
      </w:r>
      <w:r w:rsidRPr="00DA5555">
        <w:rPr>
          <w:sz w:val="24"/>
          <w:szCs w:val="24"/>
          <w:lang w:val="lt-LT"/>
        </w:rPr>
        <w:t>. Nors radioaktyviojo šaltinio juose gali ir nebūti, tačiau be specialiosios matavimo įrangos to nustatyti neįmanoma</w:t>
      </w:r>
      <w:r w:rsidRPr="00DA5555">
        <w:rPr>
          <w:color w:val="000000"/>
          <w:sz w:val="24"/>
          <w:szCs w:val="24"/>
          <w:lang w:val="lt-LT" w:eastAsia="lt-LT"/>
        </w:rPr>
        <w:t xml:space="preserve">. Norint užtikrinti žmonių ir aplinkos radiacinę saugą nuo žalingo jonizuojančiosios spinduliuotės poveikio, kasmet vykdoma ūkio subjektų, </w:t>
      </w:r>
      <w:r w:rsidRPr="00DA5555">
        <w:rPr>
          <w:color w:val="000000"/>
          <w:sz w:val="24"/>
          <w:szCs w:val="24"/>
          <w:lang w:val="lt-LT"/>
        </w:rPr>
        <w:t xml:space="preserve">kurių veiklos nereikia įteisinti, tačiau vykdant tokią veiklą </w:t>
      </w:r>
      <w:r w:rsidRPr="00DA5555">
        <w:rPr>
          <w:color w:val="000000"/>
          <w:sz w:val="24"/>
          <w:szCs w:val="24"/>
          <w:lang w:val="lt-LT" w:eastAsia="lt-LT"/>
        </w:rPr>
        <w:t xml:space="preserve">(metalų laužo, atliekų supirkimo ir perdirbimo aikštelėse, sendaikčių turgavietėse ir antikvariatuose) </w:t>
      </w:r>
      <w:r w:rsidRPr="00DA5555">
        <w:rPr>
          <w:color w:val="000000"/>
          <w:sz w:val="24"/>
          <w:szCs w:val="24"/>
          <w:lang w:val="lt-LT"/>
        </w:rPr>
        <w:t>yra tikimybė nustatyti paliktąjį radioaktyvųjį šaltinį ar radioaktyviosiomis medžiagomis užterštą objektą,</w:t>
      </w:r>
      <w:r w:rsidRPr="00DA5555">
        <w:rPr>
          <w:color w:val="000000"/>
          <w:sz w:val="24"/>
          <w:szCs w:val="24"/>
          <w:lang w:val="lt-LT" w:eastAsia="lt-LT"/>
        </w:rPr>
        <w:t xml:space="preserve"> valstybinė radiacinės saugos priežiūra. </w:t>
      </w:r>
    </w:p>
    <w:bookmarkEnd w:id="1"/>
    <w:p w14:paraId="32567A78" w14:textId="77777777" w:rsidR="00DA5555" w:rsidRPr="00DA5555" w:rsidRDefault="00DA5555" w:rsidP="00DA5555">
      <w:pPr>
        <w:tabs>
          <w:tab w:val="left" w:pos="851"/>
        </w:tabs>
        <w:spacing w:line="360" w:lineRule="auto"/>
        <w:jc w:val="both"/>
        <w:rPr>
          <w:sz w:val="24"/>
          <w:szCs w:val="24"/>
          <w:lang w:val="lt-LT" w:eastAsia="lt-LT"/>
        </w:rPr>
      </w:pPr>
      <w:r w:rsidRPr="00DA5555">
        <w:rPr>
          <w:sz w:val="24"/>
          <w:szCs w:val="24"/>
          <w:lang w:val="lt-LT" w:eastAsia="lt-LT"/>
        </w:rPr>
        <w:tab/>
        <w:t xml:space="preserve">Radiacinės saugos centras (toliau – RSC), vykdydamas metalų laužo supirkimo įmonių priežiūrą, vertina šių įmonių pasirengimą bei naudojamas priemones galimam metalų laužo radioaktyviajam užterštumui nustatyti: ar įmonės turi techniškai tvarkingos bei metrologiškai patikrintos </w:t>
      </w:r>
      <w:r w:rsidRPr="00DA5555">
        <w:rPr>
          <w:sz w:val="24"/>
          <w:szCs w:val="24"/>
          <w:lang w:val="lt-LT"/>
        </w:rPr>
        <w:t xml:space="preserve">radioaktyviesiems šaltiniams ir (ar) radioaktyviosiomis medžiagomis užterštiems objektams aptikti skirtos </w:t>
      </w:r>
      <w:r w:rsidRPr="00DA5555">
        <w:rPr>
          <w:sz w:val="24"/>
          <w:szCs w:val="24"/>
          <w:lang w:val="lt-LT" w:eastAsia="lt-LT"/>
        </w:rPr>
        <w:t>įrangos, ar superkamo metalų laužo radioaktyviojo užterštumo kontrolė atliekama vadovaujantis teisės aktų nustatytais reikalavimais. Remdamiesi patikrinimų rezultatais, RSC specialistai patikrinimų metu radioaktyviomis medžiagomis užteršto metalų laužo neaptiko. Kai kuriose metalo laužo supirkimo įmonėse buvo nustatyta radiacinės saugos reikalavimų vykdymo trūkumų, kuriuos ūkio subjektai per nustatytą laikotarpį pašalino.</w:t>
      </w:r>
    </w:p>
    <w:p w14:paraId="3AA521AA" w14:textId="77777777" w:rsidR="00DA5555" w:rsidRPr="00DA5555" w:rsidRDefault="00DA5555" w:rsidP="00DA5555">
      <w:pPr>
        <w:spacing w:line="360" w:lineRule="auto"/>
        <w:ind w:firstLine="851"/>
        <w:jc w:val="both"/>
        <w:rPr>
          <w:sz w:val="24"/>
          <w:szCs w:val="24"/>
          <w:lang w:val="lt-LT"/>
        </w:rPr>
      </w:pPr>
      <w:r w:rsidRPr="00DA5555">
        <w:rPr>
          <w:sz w:val="24"/>
          <w:szCs w:val="24"/>
          <w:lang w:val="lt-LT"/>
        </w:rPr>
        <w:lastRenderedPageBreak/>
        <w:t>Labai svarbu, kad metalų laužo supirkimo ir perdirbimo įmonių darbuotojai būtų tinkamai pasirengę ir žinotų, kaip elgtis aptikus paliktuosius radioaktyviuosius šaltinius ar radioaktyviosiomis medžiagomis užteršto metalų laužo. Nuo darbuotojų veiksmų gali priklausyti, ar nebus padaryta žalos jų pačių ir aplinkinių sveikatai bei aplinkai, todėl metalo laužo supirkimo ir perdirbimo įmonių darbuotojai privalo mokytis radiacinės saugos ir kas 5 metus kartoti mokymo kursus.</w:t>
      </w:r>
    </w:p>
    <w:p w14:paraId="6C0948F4" w14:textId="77777777" w:rsidR="00DA5555" w:rsidRPr="00DA5555" w:rsidRDefault="00DA5555" w:rsidP="00DA5555">
      <w:pPr>
        <w:spacing w:line="360" w:lineRule="auto"/>
        <w:ind w:firstLine="851"/>
        <w:jc w:val="both"/>
        <w:rPr>
          <w:sz w:val="24"/>
          <w:szCs w:val="24"/>
          <w:lang w:val="lt-LT"/>
        </w:rPr>
      </w:pPr>
      <w:r w:rsidRPr="00DA5555">
        <w:rPr>
          <w:sz w:val="24"/>
          <w:szCs w:val="24"/>
          <w:lang w:val="lt-LT"/>
        </w:rPr>
        <w:t>Pastebėjus geltoname fone pavaizduotą juodą trilapį, įspėjamąjį jonizuojančiosios spinduliuotės ženklą, jo kontūrus ar fragmentus ant prietaiso ar daikto, būtina imtis radiacinės saugos priemonių:</w:t>
      </w:r>
    </w:p>
    <w:p w14:paraId="3B409C72" w14:textId="77777777" w:rsidR="00DA5555" w:rsidRPr="00DA5555" w:rsidRDefault="00DA5555" w:rsidP="00DA5555">
      <w:pPr>
        <w:numPr>
          <w:ilvl w:val="0"/>
          <w:numId w:val="4"/>
        </w:numPr>
        <w:spacing w:after="0" w:line="360" w:lineRule="auto"/>
        <w:jc w:val="both"/>
        <w:rPr>
          <w:sz w:val="24"/>
          <w:szCs w:val="24"/>
          <w:lang w:val="lt-LT"/>
        </w:rPr>
      </w:pPr>
      <w:r w:rsidRPr="00DA5555">
        <w:rPr>
          <w:sz w:val="24"/>
          <w:szCs w:val="24"/>
          <w:lang w:val="lt-LT"/>
        </w:rPr>
        <w:t>neliesti ir laikytis kuo didesnio atstumo;</w:t>
      </w:r>
    </w:p>
    <w:p w14:paraId="44AC8FFD" w14:textId="14C241BD" w:rsidR="00DA5555" w:rsidRDefault="00DA5555" w:rsidP="00DA5555">
      <w:pPr>
        <w:numPr>
          <w:ilvl w:val="0"/>
          <w:numId w:val="4"/>
        </w:numPr>
        <w:spacing w:after="0" w:line="360" w:lineRule="auto"/>
        <w:jc w:val="both"/>
        <w:rPr>
          <w:sz w:val="24"/>
          <w:szCs w:val="24"/>
          <w:lang w:val="lt-LT"/>
        </w:rPr>
      </w:pPr>
      <w:r w:rsidRPr="00DA5555">
        <w:rPr>
          <w:sz w:val="24"/>
          <w:szCs w:val="24"/>
          <w:lang w:val="lt-LT"/>
        </w:rPr>
        <w:t>šalia radioaktyvaus šaltinio būti kuo trumpiau.</w:t>
      </w:r>
    </w:p>
    <w:p w14:paraId="7B60A215" w14:textId="77777777" w:rsidR="00DA5555" w:rsidRPr="00DA5555" w:rsidRDefault="00DA5555" w:rsidP="00DA5555">
      <w:pPr>
        <w:spacing w:after="0" w:line="360" w:lineRule="auto"/>
        <w:ind w:left="1440"/>
        <w:jc w:val="both"/>
        <w:rPr>
          <w:sz w:val="24"/>
          <w:szCs w:val="24"/>
          <w:lang w:val="lt-LT"/>
        </w:rPr>
      </w:pPr>
    </w:p>
    <w:p w14:paraId="26E6DAF9" w14:textId="2D147D4A" w:rsidR="00DA5555" w:rsidRPr="00DA5555" w:rsidRDefault="00DA5555" w:rsidP="00DA5555">
      <w:pPr>
        <w:spacing w:line="360" w:lineRule="auto"/>
        <w:ind w:firstLine="851"/>
        <w:jc w:val="both"/>
        <w:rPr>
          <w:sz w:val="24"/>
          <w:szCs w:val="24"/>
          <w:lang w:val="lt-LT"/>
        </w:rPr>
      </w:pPr>
      <w:r w:rsidRPr="00DA5555">
        <w:rPr>
          <w:sz w:val="24"/>
          <w:szCs w:val="24"/>
          <w:lang w:val="lt-LT"/>
        </w:rPr>
        <w:t>Be įprasto geltoname fone pavaizduoto juodo trilapio, naudojamas dar ir papildomas įspėjamasis jonizuojančiosios spinduliuotės ženklas, perspėjantis apie grėsmę žmogaus sveikatai ir gyvybei. Tačiau šis ženklas skirtas ženklinti tik didelio aktyvumo uždaruosius radioaktyviuosius šaltinius. Būtina žinoti, kad šis papildomas ženklas plika akimi nėra matomas – šis ženklas dedamas ant pačio radioaktyviojo šaltinio, bet ne ant apsauginio radioaktyviojo šaltinio korpuso, taip pat šis ženklas nenaudojamas transportavimo konteineriams ar patalpų durims ženklinti.</w:t>
      </w:r>
    </w:p>
    <w:p w14:paraId="016B4633" w14:textId="0B0DC589" w:rsidR="00DA5555" w:rsidRPr="00DA5555" w:rsidRDefault="00DA5555" w:rsidP="00DA5555">
      <w:pPr>
        <w:spacing w:line="360" w:lineRule="auto"/>
        <w:ind w:firstLine="720"/>
        <w:rPr>
          <w:sz w:val="24"/>
          <w:szCs w:val="24"/>
          <w:lang w:val="lt-LT"/>
        </w:rPr>
      </w:pPr>
      <w:r w:rsidRPr="00DA5555">
        <w:rPr>
          <w:noProof/>
          <w:sz w:val="24"/>
          <w:szCs w:val="24"/>
          <w:lang w:val="lt-LT"/>
        </w:rPr>
        <w:lastRenderedPageBreak/>
        <w:t xml:space="preserve"> </w:t>
      </w:r>
      <w:r w:rsidRPr="00DA5555">
        <w:rPr>
          <w:noProof/>
          <w:sz w:val="24"/>
          <w:szCs w:val="24"/>
          <w:lang w:val="lt-LT" w:eastAsia="lt-LT"/>
        </w:rPr>
        <w:drawing>
          <wp:inline distT="0" distB="0" distL="0" distR="0" wp14:anchorId="770FC1C7" wp14:editId="153A1628">
            <wp:extent cx="4448175" cy="3194037"/>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2946" cy="3197463"/>
                    </a:xfrm>
                    <a:prstGeom prst="rect">
                      <a:avLst/>
                    </a:prstGeom>
                    <a:noFill/>
                    <a:ln>
                      <a:noFill/>
                    </a:ln>
                  </pic:spPr>
                </pic:pic>
              </a:graphicData>
            </a:graphic>
          </wp:inline>
        </w:drawing>
      </w:r>
    </w:p>
    <w:p w14:paraId="0B70BE70" w14:textId="77777777" w:rsidR="00DA5555" w:rsidRPr="00DA5555" w:rsidRDefault="00DA5555" w:rsidP="00DA5555">
      <w:pPr>
        <w:spacing w:line="360" w:lineRule="auto"/>
        <w:ind w:firstLine="851"/>
        <w:jc w:val="both"/>
        <w:rPr>
          <w:sz w:val="24"/>
          <w:szCs w:val="24"/>
          <w:lang w:val="lt-LT"/>
        </w:rPr>
      </w:pPr>
    </w:p>
    <w:p w14:paraId="7F469318" w14:textId="77777777" w:rsidR="00DA5555" w:rsidRPr="00DA5555" w:rsidRDefault="00DA5555" w:rsidP="00DA5555">
      <w:pPr>
        <w:spacing w:line="360" w:lineRule="auto"/>
        <w:ind w:firstLine="851"/>
        <w:jc w:val="both"/>
        <w:rPr>
          <w:b/>
          <w:bCs/>
          <w:sz w:val="24"/>
          <w:szCs w:val="24"/>
          <w:lang w:val="lt-LT"/>
        </w:rPr>
      </w:pPr>
      <w:r w:rsidRPr="00DA5555">
        <w:rPr>
          <w:sz w:val="24"/>
          <w:szCs w:val="24"/>
          <w:lang w:val="lt-LT"/>
        </w:rPr>
        <w:t>Įtarę, kad daiktas gali būti užterštas radioaktyviosiomis medžiagomis, ar radę bet kokį prietaisą, įrenginį ar kitą nežinomos paskirties daiktą, pažymėtą įspėjamuoju jonizuojančiosios spinduliuotės ženklu, apie tai informuokite RSC elektroniniu paštu rsc@rsc.lt arba telefonu (8 5) 236 1936 (+2) arba skambinkite bendruoju pagalbos numeriu 112. Paliktieji radioaktyvieji šaltiniai ar radioaktyviosiomis medžiagomis užterštas metalų laužas yra sutvarkomi valstybės lėšomis.</w:t>
      </w:r>
    </w:p>
    <w:p w14:paraId="51860534" w14:textId="77777777" w:rsidR="00DA5555" w:rsidRPr="00DA5555" w:rsidRDefault="00DA5555" w:rsidP="00DA5555">
      <w:pPr>
        <w:spacing w:line="360" w:lineRule="auto"/>
        <w:ind w:firstLine="851"/>
        <w:jc w:val="both"/>
        <w:rPr>
          <w:sz w:val="24"/>
          <w:szCs w:val="24"/>
          <w:lang w:val="lt-LT"/>
        </w:rPr>
      </w:pPr>
    </w:p>
    <w:p w14:paraId="1D827954" w14:textId="77777777" w:rsidR="00DA5555" w:rsidRPr="00DA5555" w:rsidRDefault="00DA5555" w:rsidP="00DA5555">
      <w:pPr>
        <w:spacing w:line="360" w:lineRule="auto"/>
        <w:rPr>
          <w:sz w:val="24"/>
          <w:szCs w:val="24"/>
          <w:lang w:val="lt-LT"/>
        </w:rPr>
      </w:pPr>
    </w:p>
    <w:p w14:paraId="3FC5777E" w14:textId="34DAAD54" w:rsidR="008A2EB2" w:rsidRPr="00DA5555" w:rsidRDefault="00DA5555" w:rsidP="00DA5555">
      <w:pPr>
        <w:pStyle w:val="ListParagraph"/>
        <w:spacing w:before="100" w:beforeAutospacing="1" w:after="100" w:afterAutospacing="1" w:line="240" w:lineRule="auto"/>
        <w:ind w:left="-284"/>
        <w:rPr>
          <w:rFonts w:ascii="Times New Roman" w:hAnsi="Times New Roman" w:cs="Times New Roman"/>
          <w:b/>
          <w:bCs/>
          <w:sz w:val="28"/>
          <w:szCs w:val="28"/>
          <w:lang w:val="lt-LT"/>
        </w:rPr>
      </w:pPr>
      <w:r w:rsidRPr="00DA5555">
        <w:rPr>
          <w:noProof/>
          <w:lang w:val="lt-LT" w:eastAsia="lt-LT"/>
        </w:rPr>
        <w:lastRenderedPageBreak/>
        <w:drawing>
          <wp:inline distT="0" distB="0" distL="0" distR="0" wp14:anchorId="3289E169" wp14:editId="212FF3EA">
            <wp:extent cx="4048125" cy="28816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3494" cy="2885516"/>
                    </a:xfrm>
                    <a:prstGeom prst="rect">
                      <a:avLst/>
                    </a:prstGeom>
                    <a:noFill/>
                    <a:ln>
                      <a:noFill/>
                    </a:ln>
                  </pic:spPr>
                </pic:pic>
              </a:graphicData>
            </a:graphic>
          </wp:inline>
        </w:drawing>
      </w:r>
    </w:p>
    <w:p w14:paraId="456590FB" w14:textId="77777777" w:rsidR="008A2EB2" w:rsidRPr="00DA5555" w:rsidRDefault="008A2EB2" w:rsidP="00BE7A34">
      <w:pPr>
        <w:pStyle w:val="ListParagraph"/>
        <w:spacing w:before="100" w:beforeAutospacing="1" w:after="100" w:afterAutospacing="1" w:line="240" w:lineRule="auto"/>
        <w:ind w:left="-284"/>
        <w:rPr>
          <w:rFonts w:ascii="Times New Roman" w:hAnsi="Times New Roman" w:cs="Times New Roman"/>
          <w:b/>
          <w:bCs/>
          <w:sz w:val="28"/>
          <w:szCs w:val="28"/>
          <w:lang w:val="lt-LT"/>
        </w:rPr>
      </w:pPr>
    </w:p>
    <w:p w14:paraId="60E490D1" w14:textId="77777777" w:rsidR="008A2EB2" w:rsidRPr="00DA5555" w:rsidRDefault="008A2EB2" w:rsidP="00BE7A34">
      <w:pPr>
        <w:pStyle w:val="ListParagraph"/>
        <w:spacing w:before="100" w:beforeAutospacing="1" w:after="100" w:afterAutospacing="1" w:line="240" w:lineRule="auto"/>
        <w:ind w:left="-284"/>
        <w:rPr>
          <w:rFonts w:ascii="Times New Roman" w:hAnsi="Times New Roman" w:cs="Times New Roman"/>
          <w:b/>
          <w:bCs/>
          <w:sz w:val="28"/>
          <w:szCs w:val="28"/>
          <w:lang w:val="lt-LT"/>
        </w:rPr>
      </w:pPr>
    </w:p>
    <w:p w14:paraId="4DC0F8D1" w14:textId="77777777" w:rsidR="008A2EB2" w:rsidRPr="00DA5555" w:rsidRDefault="008A2EB2" w:rsidP="00BE7A34">
      <w:pPr>
        <w:pStyle w:val="ListParagraph"/>
        <w:spacing w:before="100" w:beforeAutospacing="1" w:after="100" w:afterAutospacing="1" w:line="240" w:lineRule="auto"/>
        <w:ind w:left="-284"/>
        <w:rPr>
          <w:rFonts w:ascii="Times New Roman" w:hAnsi="Times New Roman" w:cs="Times New Roman"/>
          <w:b/>
          <w:bCs/>
          <w:sz w:val="28"/>
          <w:szCs w:val="28"/>
          <w:lang w:val="lt-LT"/>
        </w:rPr>
      </w:pPr>
    </w:p>
    <w:p w14:paraId="175763AB" w14:textId="77777777" w:rsidR="008A2EB2" w:rsidRPr="00DA5555" w:rsidRDefault="008A2EB2" w:rsidP="00BE7A34">
      <w:pPr>
        <w:pStyle w:val="ListParagraph"/>
        <w:spacing w:before="100" w:beforeAutospacing="1" w:after="100" w:afterAutospacing="1" w:line="240" w:lineRule="auto"/>
        <w:ind w:left="-284"/>
        <w:rPr>
          <w:rFonts w:ascii="Times New Roman" w:hAnsi="Times New Roman" w:cs="Times New Roman"/>
          <w:b/>
          <w:bCs/>
          <w:sz w:val="28"/>
          <w:szCs w:val="28"/>
          <w:lang w:val="lt-LT"/>
        </w:rPr>
      </w:pPr>
    </w:p>
    <w:p w14:paraId="166EB4EE" w14:textId="7F1658BE" w:rsidR="003A1A17" w:rsidRPr="00DA5555" w:rsidRDefault="003A1A17" w:rsidP="00BE7A34">
      <w:pPr>
        <w:pStyle w:val="ListParagraph"/>
        <w:spacing w:before="100" w:beforeAutospacing="1" w:after="100" w:afterAutospacing="1" w:line="240" w:lineRule="auto"/>
        <w:ind w:left="-284"/>
        <w:rPr>
          <w:rFonts w:eastAsiaTheme="minorEastAsia" w:cstheme="minorHAnsi"/>
          <w:b/>
          <w:bCs/>
          <w:i/>
          <w:iCs/>
          <w:noProof/>
          <w:lang w:val="lt-LT"/>
        </w:rPr>
      </w:pPr>
      <w:r w:rsidRPr="00DA5555">
        <w:rPr>
          <w:rFonts w:eastAsiaTheme="minorEastAsia" w:cstheme="minorHAnsi"/>
          <w:b/>
          <w:bCs/>
          <w:i/>
          <w:iCs/>
          <w:noProof/>
          <w:lang w:val="lt-LT"/>
        </w:rPr>
        <w:t>Radiacinės saugos centras</w:t>
      </w:r>
    </w:p>
    <w:p w14:paraId="301FD7BE" w14:textId="77777777" w:rsidR="003A1A17" w:rsidRPr="00DA5555" w:rsidRDefault="003A1A17" w:rsidP="00BE7A34">
      <w:pPr>
        <w:ind w:left="-284"/>
        <w:rPr>
          <w:rFonts w:eastAsiaTheme="minorEastAsia" w:cstheme="minorHAnsi"/>
          <w:i/>
          <w:iCs/>
          <w:noProof/>
          <w:lang w:val="lt-LT"/>
        </w:rPr>
      </w:pPr>
      <w:r w:rsidRPr="00DA5555">
        <w:rPr>
          <w:rFonts w:eastAsiaTheme="minorEastAsia" w:cstheme="minorHAnsi"/>
          <w:i/>
          <w:iCs/>
          <w:noProof/>
          <w:lang w:val="lt-LT"/>
        </w:rPr>
        <w:t>Kalvarijų g. 153, Vilnius</w:t>
      </w:r>
    </w:p>
    <w:p w14:paraId="50A4603A" w14:textId="77777777" w:rsidR="003A1A17" w:rsidRPr="00DA5555" w:rsidRDefault="003A1A17" w:rsidP="00BE7A34">
      <w:pPr>
        <w:ind w:left="-284"/>
        <w:rPr>
          <w:rFonts w:eastAsiaTheme="minorEastAsia" w:cstheme="minorHAnsi"/>
          <w:i/>
          <w:iCs/>
          <w:noProof/>
          <w:lang w:val="lt-LT"/>
        </w:rPr>
      </w:pPr>
      <w:r w:rsidRPr="00DA5555">
        <w:rPr>
          <w:rFonts w:eastAsiaTheme="minorEastAsia" w:cstheme="minorHAnsi"/>
          <w:i/>
          <w:iCs/>
          <w:noProof/>
          <w:lang w:val="lt-LT"/>
        </w:rPr>
        <w:t>LT-08352, Lietuva</w:t>
      </w:r>
    </w:p>
    <w:p w14:paraId="4D0C607E" w14:textId="77777777" w:rsidR="003A1A17" w:rsidRPr="00DA5555" w:rsidRDefault="003A1A17" w:rsidP="00BE7A34">
      <w:pPr>
        <w:ind w:left="-284"/>
        <w:rPr>
          <w:rFonts w:eastAsiaTheme="minorEastAsia" w:cstheme="minorHAnsi"/>
          <w:i/>
          <w:iCs/>
          <w:noProof/>
          <w:lang w:val="lt-LT"/>
        </w:rPr>
      </w:pPr>
      <w:r w:rsidRPr="00DA5555">
        <w:rPr>
          <w:rFonts w:eastAsiaTheme="minorEastAsia" w:cstheme="minorHAnsi"/>
          <w:i/>
          <w:iCs/>
          <w:noProof/>
          <w:lang w:val="lt-LT"/>
        </w:rPr>
        <w:t>Tel. (8 5) 236 1936</w:t>
      </w:r>
    </w:p>
    <w:p w14:paraId="6F76EC6D" w14:textId="450CAAA1" w:rsidR="001137F5" w:rsidRPr="00DA5555" w:rsidRDefault="000F5A69" w:rsidP="00AC6DC1">
      <w:pPr>
        <w:ind w:left="-284"/>
        <w:rPr>
          <w:rFonts w:cstheme="minorHAnsi"/>
          <w:lang w:val="lt-LT"/>
        </w:rPr>
      </w:pPr>
      <w:r w:rsidRPr="00DA5555">
        <w:rPr>
          <w:rFonts w:cstheme="minorHAnsi"/>
          <w:noProof/>
          <w:lang w:val="lt-LT" w:eastAsia="lt-LT"/>
        </w:rPr>
        <w:drawing>
          <wp:inline distT="0" distB="0" distL="0" distR="0" wp14:anchorId="462216EB" wp14:editId="24D615BB">
            <wp:extent cx="1075023"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1350" cy="708998"/>
                    </a:xfrm>
                    <a:prstGeom prst="rect">
                      <a:avLst/>
                    </a:prstGeom>
                    <a:noFill/>
                    <a:ln>
                      <a:noFill/>
                    </a:ln>
                  </pic:spPr>
                </pic:pic>
              </a:graphicData>
            </a:graphic>
          </wp:inline>
        </w:drawing>
      </w:r>
      <w:bookmarkEnd w:id="0"/>
    </w:p>
    <w:sectPr w:rsidR="001137F5" w:rsidRPr="00DA5555" w:rsidSect="00BE7A3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76" w:left="144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13B96" w14:textId="77777777" w:rsidR="00C77465" w:rsidRDefault="00C77465" w:rsidP="00EA29D8">
      <w:pPr>
        <w:spacing w:after="0" w:line="240" w:lineRule="auto"/>
      </w:pPr>
      <w:r>
        <w:separator/>
      </w:r>
    </w:p>
  </w:endnote>
  <w:endnote w:type="continuationSeparator" w:id="0">
    <w:p w14:paraId="04C1B64F" w14:textId="77777777" w:rsidR="00C77465" w:rsidRDefault="00C77465" w:rsidP="00EA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C0E15" w14:textId="77777777" w:rsidR="008A2EB2" w:rsidRDefault="008A2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3A0FA" w14:textId="3BC2C9A0" w:rsidR="00F241BB" w:rsidRPr="00F241BB" w:rsidRDefault="001137F5" w:rsidP="00F241BB">
    <w:pPr>
      <w:jc w:val="both"/>
      <w:rPr>
        <w:sz w:val="20"/>
        <w:szCs w:val="20"/>
        <w:lang w:val="lt-LT"/>
      </w:rPr>
    </w:pPr>
    <w:r w:rsidRPr="00F241BB">
      <w:rPr>
        <w:rStyle w:val="Strong"/>
        <w:rFonts w:cstheme="minorHAnsi"/>
        <w:color w:val="000000"/>
        <w:sz w:val="20"/>
        <w:szCs w:val="20"/>
        <w:shd w:val="clear" w:color="auto" w:fill="FFFFFF"/>
      </w:rPr>
      <w:t>Radiacinės saugos centras (RSC)</w:t>
    </w:r>
    <w:r w:rsidRPr="00F241BB">
      <w:rPr>
        <w:rFonts w:cstheme="minorHAnsi"/>
        <w:color w:val="000000"/>
        <w:sz w:val="20"/>
        <w:szCs w:val="20"/>
        <w:shd w:val="clear" w:color="auto" w:fill="FFFFFF"/>
      </w:rPr>
      <w:t> </w:t>
    </w:r>
    <w:r w:rsidR="008A2EB2">
      <w:rPr>
        <w:rFonts w:cstheme="minorHAnsi"/>
        <w:color w:val="000000"/>
        <w:sz w:val="20"/>
        <w:szCs w:val="20"/>
        <w:shd w:val="clear" w:color="auto" w:fill="FFFFFF"/>
      </w:rPr>
      <w:t>–</w:t>
    </w:r>
    <w:r w:rsidR="00F241BB" w:rsidRPr="00F241BB">
      <w:rPr>
        <w:color w:val="000000"/>
        <w:sz w:val="20"/>
        <w:szCs w:val="20"/>
      </w:rPr>
      <w:t xml:space="preserve"> </w:t>
    </w:r>
    <w:proofErr w:type="spellStart"/>
    <w:r w:rsidR="00F241BB" w:rsidRPr="00F241BB">
      <w:rPr>
        <w:color w:val="000000"/>
        <w:sz w:val="20"/>
        <w:szCs w:val="20"/>
      </w:rPr>
      <w:t>reguliuojančioji</w:t>
    </w:r>
    <w:proofErr w:type="spellEnd"/>
    <w:r w:rsidR="00F241BB" w:rsidRPr="00F241BB">
      <w:rPr>
        <w:color w:val="000000"/>
        <w:sz w:val="20"/>
        <w:szCs w:val="20"/>
      </w:rPr>
      <w:t xml:space="preserve"> </w:t>
    </w:r>
    <w:proofErr w:type="spellStart"/>
    <w:r w:rsidR="00F241BB" w:rsidRPr="00F241BB">
      <w:rPr>
        <w:color w:val="000000"/>
        <w:sz w:val="20"/>
        <w:szCs w:val="20"/>
      </w:rPr>
      <w:t>institucija</w:t>
    </w:r>
    <w:proofErr w:type="spellEnd"/>
    <w:r w:rsidR="00D36D79">
      <w:rPr>
        <w:color w:val="000000"/>
        <w:sz w:val="20"/>
        <w:szCs w:val="20"/>
      </w:rPr>
      <w:t xml:space="preserve"> </w:t>
    </w:r>
    <w:proofErr w:type="spellStart"/>
    <w:r w:rsidR="00D36D79">
      <w:rPr>
        <w:color w:val="000000"/>
        <w:sz w:val="20"/>
        <w:szCs w:val="20"/>
      </w:rPr>
      <w:t>radiacinės</w:t>
    </w:r>
    <w:proofErr w:type="spellEnd"/>
    <w:r w:rsidR="00D36D79">
      <w:rPr>
        <w:color w:val="000000"/>
        <w:sz w:val="20"/>
        <w:szCs w:val="20"/>
      </w:rPr>
      <w:t xml:space="preserve"> </w:t>
    </w:r>
    <w:proofErr w:type="spellStart"/>
    <w:r w:rsidR="00D36D79">
      <w:rPr>
        <w:color w:val="000000"/>
        <w:sz w:val="20"/>
        <w:szCs w:val="20"/>
      </w:rPr>
      <w:t>saugos</w:t>
    </w:r>
    <w:proofErr w:type="spellEnd"/>
    <w:r w:rsidR="00D36D79">
      <w:rPr>
        <w:color w:val="000000"/>
        <w:sz w:val="20"/>
        <w:szCs w:val="20"/>
      </w:rPr>
      <w:t xml:space="preserve"> </w:t>
    </w:r>
    <w:proofErr w:type="spellStart"/>
    <w:r w:rsidR="00D36D79">
      <w:rPr>
        <w:color w:val="000000"/>
        <w:sz w:val="20"/>
        <w:szCs w:val="20"/>
      </w:rPr>
      <w:t>klausimais</w:t>
    </w:r>
    <w:proofErr w:type="spellEnd"/>
    <w:r w:rsidR="00F241BB" w:rsidRPr="00F241BB">
      <w:rPr>
        <w:color w:val="000000"/>
        <w:sz w:val="20"/>
        <w:szCs w:val="20"/>
      </w:rPr>
      <w:t xml:space="preserve">, </w:t>
    </w:r>
    <w:proofErr w:type="spellStart"/>
    <w:r w:rsidR="00F241BB" w:rsidRPr="00F241BB">
      <w:rPr>
        <w:color w:val="000000"/>
        <w:sz w:val="20"/>
        <w:szCs w:val="20"/>
      </w:rPr>
      <w:t>kurios</w:t>
    </w:r>
    <w:proofErr w:type="spellEnd"/>
    <w:r w:rsidR="00F241BB" w:rsidRPr="00F241BB">
      <w:rPr>
        <w:color w:val="000000"/>
        <w:sz w:val="20"/>
        <w:szCs w:val="20"/>
      </w:rPr>
      <w:t xml:space="preserve"> </w:t>
    </w:r>
    <w:proofErr w:type="spellStart"/>
    <w:r w:rsidR="00F241BB" w:rsidRPr="00F241BB">
      <w:rPr>
        <w:color w:val="000000"/>
        <w:sz w:val="20"/>
        <w:szCs w:val="20"/>
      </w:rPr>
      <w:t>paskirtis</w:t>
    </w:r>
    <w:proofErr w:type="spellEnd"/>
    <w:r w:rsidR="00F241BB" w:rsidRPr="00F241BB">
      <w:rPr>
        <w:color w:val="000000"/>
        <w:sz w:val="20"/>
        <w:szCs w:val="20"/>
      </w:rPr>
      <w:t xml:space="preserve"> – </w:t>
    </w:r>
    <w:proofErr w:type="spellStart"/>
    <w:r w:rsidR="00F241BB" w:rsidRPr="00F241BB">
      <w:rPr>
        <w:color w:val="000000"/>
        <w:sz w:val="20"/>
        <w:szCs w:val="20"/>
      </w:rPr>
      <w:t>vykdyti</w:t>
    </w:r>
    <w:proofErr w:type="spellEnd"/>
    <w:r w:rsidR="00F241BB" w:rsidRPr="00F241BB">
      <w:rPr>
        <w:color w:val="000000"/>
        <w:sz w:val="20"/>
        <w:szCs w:val="20"/>
      </w:rPr>
      <w:t xml:space="preserve"> </w:t>
    </w:r>
    <w:proofErr w:type="spellStart"/>
    <w:r w:rsidR="00F241BB" w:rsidRPr="00F241BB">
      <w:rPr>
        <w:color w:val="000000"/>
        <w:sz w:val="20"/>
        <w:szCs w:val="20"/>
      </w:rPr>
      <w:t>žmonių</w:t>
    </w:r>
    <w:proofErr w:type="spellEnd"/>
    <w:r w:rsidR="00F241BB" w:rsidRPr="00F241BB">
      <w:rPr>
        <w:color w:val="000000"/>
        <w:sz w:val="20"/>
        <w:szCs w:val="20"/>
      </w:rPr>
      <w:t xml:space="preserve"> ir </w:t>
    </w:r>
    <w:proofErr w:type="spellStart"/>
    <w:r w:rsidR="00F241BB" w:rsidRPr="00F241BB">
      <w:rPr>
        <w:color w:val="000000"/>
        <w:sz w:val="20"/>
        <w:szCs w:val="20"/>
      </w:rPr>
      <w:t>aplinkos</w:t>
    </w:r>
    <w:proofErr w:type="spellEnd"/>
    <w:r w:rsidR="00F241BB" w:rsidRPr="00F241BB">
      <w:rPr>
        <w:color w:val="000000"/>
        <w:sz w:val="20"/>
        <w:szCs w:val="20"/>
      </w:rPr>
      <w:t xml:space="preserve"> </w:t>
    </w:r>
    <w:proofErr w:type="spellStart"/>
    <w:r w:rsidR="00F241BB" w:rsidRPr="00F241BB">
      <w:rPr>
        <w:color w:val="000000"/>
        <w:sz w:val="20"/>
        <w:szCs w:val="20"/>
      </w:rPr>
      <w:t>apšvitos</w:t>
    </w:r>
    <w:proofErr w:type="spellEnd"/>
    <w:r w:rsidR="00F241BB" w:rsidRPr="00F241BB">
      <w:rPr>
        <w:color w:val="000000"/>
        <w:sz w:val="20"/>
        <w:szCs w:val="20"/>
      </w:rPr>
      <w:t xml:space="preserve"> </w:t>
    </w:r>
    <w:proofErr w:type="spellStart"/>
    <w:r w:rsidR="00F241BB" w:rsidRPr="00F241BB">
      <w:rPr>
        <w:color w:val="000000"/>
        <w:sz w:val="20"/>
        <w:szCs w:val="20"/>
      </w:rPr>
      <w:t>bei</w:t>
    </w:r>
    <w:proofErr w:type="spellEnd"/>
    <w:r w:rsidR="00F241BB" w:rsidRPr="00F241BB">
      <w:rPr>
        <w:color w:val="000000"/>
        <w:sz w:val="20"/>
        <w:szCs w:val="20"/>
      </w:rPr>
      <w:t xml:space="preserve"> </w:t>
    </w:r>
    <w:proofErr w:type="spellStart"/>
    <w:r w:rsidR="00F241BB" w:rsidRPr="00F241BB">
      <w:rPr>
        <w:color w:val="000000"/>
        <w:sz w:val="20"/>
        <w:szCs w:val="20"/>
      </w:rPr>
      <w:t>veiklos</w:t>
    </w:r>
    <w:proofErr w:type="spellEnd"/>
    <w:r w:rsidR="00F241BB" w:rsidRPr="00F241BB">
      <w:rPr>
        <w:color w:val="000000"/>
        <w:sz w:val="20"/>
        <w:szCs w:val="20"/>
      </w:rPr>
      <w:t xml:space="preserve"> </w:t>
    </w:r>
    <w:proofErr w:type="spellStart"/>
    <w:r w:rsidR="00F241BB" w:rsidRPr="00F241BB">
      <w:rPr>
        <w:color w:val="000000"/>
        <w:sz w:val="20"/>
        <w:szCs w:val="20"/>
      </w:rPr>
      <w:t>su</w:t>
    </w:r>
    <w:proofErr w:type="spellEnd"/>
    <w:r w:rsidR="00F241BB" w:rsidRPr="00F241BB">
      <w:rPr>
        <w:color w:val="000000"/>
        <w:sz w:val="20"/>
        <w:szCs w:val="20"/>
      </w:rPr>
      <w:t xml:space="preserve"> </w:t>
    </w:r>
    <w:proofErr w:type="spellStart"/>
    <w:r w:rsidR="00F241BB" w:rsidRPr="00F241BB">
      <w:rPr>
        <w:color w:val="000000"/>
        <w:sz w:val="20"/>
        <w:szCs w:val="20"/>
      </w:rPr>
      <w:t>jonizuojančiosios</w:t>
    </w:r>
    <w:proofErr w:type="spellEnd"/>
    <w:r w:rsidR="00F241BB" w:rsidRPr="00F241BB">
      <w:rPr>
        <w:color w:val="000000"/>
        <w:sz w:val="20"/>
        <w:szCs w:val="20"/>
      </w:rPr>
      <w:t xml:space="preserve"> </w:t>
    </w:r>
    <w:proofErr w:type="spellStart"/>
    <w:r w:rsidR="00F241BB" w:rsidRPr="00F241BB">
      <w:rPr>
        <w:color w:val="000000"/>
        <w:sz w:val="20"/>
        <w:szCs w:val="20"/>
      </w:rPr>
      <w:t>spinduliuotės</w:t>
    </w:r>
    <w:proofErr w:type="spellEnd"/>
    <w:r w:rsidR="00F241BB" w:rsidRPr="00F241BB">
      <w:rPr>
        <w:color w:val="000000"/>
        <w:sz w:val="20"/>
        <w:szCs w:val="20"/>
      </w:rPr>
      <w:t xml:space="preserve"> </w:t>
    </w:r>
    <w:proofErr w:type="spellStart"/>
    <w:r w:rsidR="00F241BB" w:rsidRPr="00F241BB">
      <w:rPr>
        <w:color w:val="000000"/>
        <w:sz w:val="20"/>
        <w:szCs w:val="20"/>
      </w:rPr>
      <w:t>šaltiniais</w:t>
    </w:r>
    <w:proofErr w:type="spellEnd"/>
    <w:r w:rsidR="00F241BB" w:rsidRPr="00F241BB">
      <w:rPr>
        <w:color w:val="000000"/>
        <w:sz w:val="20"/>
        <w:szCs w:val="20"/>
      </w:rPr>
      <w:t xml:space="preserve">, </w:t>
    </w:r>
    <w:proofErr w:type="spellStart"/>
    <w:r w:rsidR="00F241BB" w:rsidRPr="00F241BB">
      <w:rPr>
        <w:color w:val="000000"/>
        <w:sz w:val="20"/>
        <w:szCs w:val="20"/>
      </w:rPr>
      <w:t>išskyrus</w:t>
    </w:r>
    <w:proofErr w:type="spellEnd"/>
    <w:r w:rsidR="00F241BB" w:rsidRPr="00F241BB">
      <w:rPr>
        <w:color w:val="000000"/>
        <w:sz w:val="20"/>
        <w:szCs w:val="20"/>
      </w:rPr>
      <w:t xml:space="preserve"> </w:t>
    </w:r>
    <w:proofErr w:type="spellStart"/>
    <w:r w:rsidR="00F241BB" w:rsidRPr="00F241BB">
      <w:rPr>
        <w:color w:val="000000"/>
        <w:sz w:val="20"/>
        <w:szCs w:val="20"/>
      </w:rPr>
      <w:t>branduolinės</w:t>
    </w:r>
    <w:proofErr w:type="spellEnd"/>
    <w:r w:rsidR="00F241BB" w:rsidRPr="00F241BB">
      <w:rPr>
        <w:color w:val="000000"/>
        <w:sz w:val="20"/>
        <w:szCs w:val="20"/>
      </w:rPr>
      <w:t xml:space="preserve"> </w:t>
    </w:r>
    <w:proofErr w:type="spellStart"/>
    <w:r w:rsidR="00F241BB" w:rsidRPr="00F241BB">
      <w:rPr>
        <w:color w:val="000000"/>
        <w:sz w:val="20"/>
        <w:szCs w:val="20"/>
      </w:rPr>
      <w:t>energetikos</w:t>
    </w:r>
    <w:proofErr w:type="spellEnd"/>
    <w:r w:rsidR="00F241BB" w:rsidRPr="00F241BB">
      <w:rPr>
        <w:color w:val="000000"/>
        <w:sz w:val="20"/>
        <w:szCs w:val="20"/>
      </w:rPr>
      <w:t xml:space="preserve"> </w:t>
    </w:r>
    <w:proofErr w:type="spellStart"/>
    <w:r w:rsidR="00F241BB" w:rsidRPr="00F241BB">
      <w:rPr>
        <w:color w:val="000000"/>
        <w:sz w:val="20"/>
        <w:szCs w:val="20"/>
      </w:rPr>
      <w:t>srities</w:t>
    </w:r>
    <w:proofErr w:type="spellEnd"/>
    <w:r w:rsidR="00F241BB" w:rsidRPr="00F241BB">
      <w:rPr>
        <w:color w:val="000000"/>
        <w:sz w:val="20"/>
        <w:szCs w:val="20"/>
      </w:rPr>
      <w:t xml:space="preserve"> </w:t>
    </w:r>
    <w:proofErr w:type="spellStart"/>
    <w:r w:rsidR="00F241BB" w:rsidRPr="00F241BB">
      <w:rPr>
        <w:color w:val="000000"/>
        <w:sz w:val="20"/>
        <w:szCs w:val="20"/>
      </w:rPr>
      <w:t>veiklą</w:t>
    </w:r>
    <w:proofErr w:type="spellEnd"/>
    <w:r w:rsidR="00F241BB" w:rsidRPr="00F241BB">
      <w:rPr>
        <w:color w:val="000000"/>
        <w:sz w:val="20"/>
        <w:szCs w:val="20"/>
      </w:rPr>
      <w:t xml:space="preserve"> </w:t>
    </w:r>
    <w:proofErr w:type="spellStart"/>
    <w:r w:rsidR="00F241BB" w:rsidRPr="00F241BB">
      <w:rPr>
        <w:color w:val="000000"/>
        <w:sz w:val="20"/>
        <w:szCs w:val="20"/>
      </w:rPr>
      <w:t>su</w:t>
    </w:r>
    <w:proofErr w:type="spellEnd"/>
    <w:r w:rsidR="00F241BB" w:rsidRPr="00F241BB">
      <w:rPr>
        <w:color w:val="000000"/>
        <w:sz w:val="20"/>
        <w:szCs w:val="20"/>
      </w:rPr>
      <w:t xml:space="preserve"> </w:t>
    </w:r>
    <w:proofErr w:type="spellStart"/>
    <w:r w:rsidR="00F241BB" w:rsidRPr="00F241BB">
      <w:rPr>
        <w:color w:val="000000"/>
        <w:sz w:val="20"/>
        <w:szCs w:val="20"/>
      </w:rPr>
      <w:t>jonizuojančiosios</w:t>
    </w:r>
    <w:proofErr w:type="spellEnd"/>
    <w:r w:rsidR="00F241BB" w:rsidRPr="00F241BB">
      <w:rPr>
        <w:color w:val="000000"/>
        <w:sz w:val="20"/>
        <w:szCs w:val="20"/>
      </w:rPr>
      <w:t xml:space="preserve"> </w:t>
    </w:r>
    <w:proofErr w:type="spellStart"/>
    <w:r w:rsidR="00F241BB" w:rsidRPr="00F241BB">
      <w:rPr>
        <w:color w:val="000000"/>
        <w:sz w:val="20"/>
        <w:szCs w:val="20"/>
      </w:rPr>
      <w:t>spinduliuotės</w:t>
    </w:r>
    <w:proofErr w:type="spellEnd"/>
    <w:r w:rsidR="00F241BB" w:rsidRPr="00F241BB">
      <w:rPr>
        <w:color w:val="000000"/>
        <w:sz w:val="20"/>
        <w:szCs w:val="20"/>
      </w:rPr>
      <w:t xml:space="preserve"> </w:t>
    </w:r>
    <w:proofErr w:type="spellStart"/>
    <w:r w:rsidR="00F241BB" w:rsidRPr="00F241BB">
      <w:rPr>
        <w:color w:val="000000"/>
        <w:sz w:val="20"/>
        <w:szCs w:val="20"/>
      </w:rPr>
      <w:t>šaltiniais</w:t>
    </w:r>
    <w:proofErr w:type="spellEnd"/>
    <w:r w:rsidR="00F241BB" w:rsidRPr="00F241BB">
      <w:rPr>
        <w:color w:val="000000"/>
        <w:sz w:val="20"/>
        <w:szCs w:val="20"/>
      </w:rPr>
      <w:t xml:space="preserve"> (</w:t>
    </w:r>
    <w:proofErr w:type="spellStart"/>
    <w:r w:rsidR="00F241BB" w:rsidRPr="00F241BB">
      <w:rPr>
        <w:color w:val="000000"/>
        <w:sz w:val="20"/>
        <w:szCs w:val="20"/>
      </w:rPr>
      <w:t>toliau</w:t>
    </w:r>
    <w:proofErr w:type="spellEnd"/>
    <w:r w:rsidR="00F241BB" w:rsidRPr="00F241BB">
      <w:rPr>
        <w:color w:val="000000"/>
        <w:sz w:val="20"/>
        <w:szCs w:val="20"/>
      </w:rPr>
      <w:t xml:space="preserve"> –</w:t>
    </w:r>
    <w:r w:rsidR="00B829B8">
      <w:rPr>
        <w:color w:val="000000"/>
        <w:sz w:val="20"/>
        <w:szCs w:val="20"/>
      </w:rPr>
      <w:t xml:space="preserve"> </w:t>
    </w:r>
    <w:proofErr w:type="spellStart"/>
    <w:r w:rsidR="00F241BB" w:rsidRPr="00F241BB">
      <w:rPr>
        <w:color w:val="000000"/>
        <w:sz w:val="20"/>
        <w:szCs w:val="20"/>
      </w:rPr>
      <w:t>šaltiniais</w:t>
    </w:r>
    <w:proofErr w:type="spellEnd"/>
    <w:r w:rsidR="00F241BB" w:rsidRPr="00F241BB">
      <w:rPr>
        <w:color w:val="000000"/>
        <w:sz w:val="20"/>
        <w:szCs w:val="20"/>
      </w:rPr>
      <w:t xml:space="preserve">), </w:t>
    </w:r>
    <w:proofErr w:type="spellStart"/>
    <w:r w:rsidR="00F241BB" w:rsidRPr="00F241BB">
      <w:rPr>
        <w:color w:val="000000"/>
        <w:sz w:val="20"/>
        <w:szCs w:val="20"/>
      </w:rPr>
      <w:t>reguliuojamąją</w:t>
    </w:r>
    <w:proofErr w:type="spellEnd"/>
    <w:r w:rsidR="00F241BB" w:rsidRPr="00F241BB">
      <w:rPr>
        <w:color w:val="000000"/>
        <w:sz w:val="20"/>
        <w:szCs w:val="20"/>
      </w:rPr>
      <w:t xml:space="preserve"> </w:t>
    </w:r>
    <w:proofErr w:type="spellStart"/>
    <w:r w:rsidR="00F241BB" w:rsidRPr="00F241BB">
      <w:rPr>
        <w:color w:val="000000"/>
        <w:sz w:val="20"/>
        <w:szCs w:val="20"/>
      </w:rPr>
      <w:t>kontrolę</w:t>
    </w:r>
    <w:proofErr w:type="spellEnd"/>
    <w:r w:rsidR="00F241BB" w:rsidRPr="00F241BB">
      <w:rPr>
        <w:color w:val="000000"/>
        <w:sz w:val="20"/>
        <w:szCs w:val="20"/>
      </w:rPr>
      <w:t>.</w:t>
    </w:r>
  </w:p>
  <w:p w14:paraId="0DA69EDD" w14:textId="4F238018" w:rsidR="00DC4CEA" w:rsidRPr="001137F5" w:rsidRDefault="00DC4CEA" w:rsidP="001137F5">
    <w:pPr>
      <w:pStyle w:val="Footer"/>
      <w:rPr>
        <w:rFonts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D018C" w14:textId="77777777" w:rsidR="008A2EB2" w:rsidRDefault="008A2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FB032" w14:textId="77777777" w:rsidR="00C77465" w:rsidRDefault="00C77465" w:rsidP="00EA29D8">
      <w:pPr>
        <w:spacing w:after="0" w:line="240" w:lineRule="auto"/>
      </w:pPr>
      <w:r>
        <w:separator/>
      </w:r>
    </w:p>
  </w:footnote>
  <w:footnote w:type="continuationSeparator" w:id="0">
    <w:p w14:paraId="773BBE8E" w14:textId="77777777" w:rsidR="00C77465" w:rsidRDefault="00C77465" w:rsidP="00EA2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A63DE" w14:textId="77777777" w:rsidR="008A2EB2" w:rsidRDefault="008A2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81474" w14:textId="1D99541E" w:rsidR="00EA29D8" w:rsidRDefault="004B1319">
    <w:pPr>
      <w:pStyle w:val="Header"/>
    </w:pPr>
    <w:r>
      <w:rPr>
        <w:rFonts w:cstheme="minorHAnsi"/>
        <w:noProof/>
        <w:lang w:val="lt-LT" w:eastAsia="lt-LT"/>
      </w:rPr>
      <w:drawing>
        <wp:inline distT="0" distB="0" distL="0" distR="0" wp14:anchorId="1E3CB5ED" wp14:editId="1A1C1353">
          <wp:extent cx="1075023" cy="704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1350" cy="70899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06B5E" w14:textId="77777777" w:rsidR="008A2EB2" w:rsidRDefault="008A2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F5857"/>
    <w:multiLevelType w:val="hybridMultilevel"/>
    <w:tmpl w:val="BAEEF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EEB4096"/>
    <w:multiLevelType w:val="hybridMultilevel"/>
    <w:tmpl w:val="E8A0FC48"/>
    <w:lvl w:ilvl="0" w:tplc="04090001">
      <w:start w:val="1"/>
      <w:numFmt w:val="bullet"/>
      <w:lvlText w:val=""/>
      <w:lvlJc w:val="left"/>
      <w:pPr>
        <w:ind w:left="1634" w:hanging="360"/>
      </w:pPr>
      <w:rPr>
        <w:rFonts w:ascii="Symbol" w:hAnsi="Symbol"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2" w15:restartNumberingAfterBreak="0">
    <w:nsid w:val="5CC94C7E"/>
    <w:multiLevelType w:val="hybridMultilevel"/>
    <w:tmpl w:val="B0EC056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7A072FB9"/>
    <w:multiLevelType w:val="hybridMultilevel"/>
    <w:tmpl w:val="15329AC4"/>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CFF"/>
    <w:rsid w:val="00046198"/>
    <w:rsid w:val="000473BA"/>
    <w:rsid w:val="0007249D"/>
    <w:rsid w:val="00083ADB"/>
    <w:rsid w:val="000A0051"/>
    <w:rsid w:val="000B44D2"/>
    <w:rsid w:val="000F5A69"/>
    <w:rsid w:val="001137F5"/>
    <w:rsid w:val="00137CE9"/>
    <w:rsid w:val="00234899"/>
    <w:rsid w:val="00277436"/>
    <w:rsid w:val="002A362B"/>
    <w:rsid w:val="00323D4B"/>
    <w:rsid w:val="0034769B"/>
    <w:rsid w:val="003A09EE"/>
    <w:rsid w:val="003A1A17"/>
    <w:rsid w:val="003A40A0"/>
    <w:rsid w:val="004551C1"/>
    <w:rsid w:val="004B1319"/>
    <w:rsid w:val="004C0473"/>
    <w:rsid w:val="004C2505"/>
    <w:rsid w:val="004D54BE"/>
    <w:rsid w:val="005156C8"/>
    <w:rsid w:val="0056733B"/>
    <w:rsid w:val="0059682A"/>
    <w:rsid w:val="005B45F1"/>
    <w:rsid w:val="006A5D4D"/>
    <w:rsid w:val="006B111C"/>
    <w:rsid w:val="00760611"/>
    <w:rsid w:val="0076385B"/>
    <w:rsid w:val="007A1CFF"/>
    <w:rsid w:val="007B3C30"/>
    <w:rsid w:val="0082150B"/>
    <w:rsid w:val="008A2EB2"/>
    <w:rsid w:val="008E0F9E"/>
    <w:rsid w:val="00915FE2"/>
    <w:rsid w:val="009607CD"/>
    <w:rsid w:val="00A35A10"/>
    <w:rsid w:val="00A74D91"/>
    <w:rsid w:val="00A81159"/>
    <w:rsid w:val="00A82BEE"/>
    <w:rsid w:val="00AC6DC1"/>
    <w:rsid w:val="00B0341D"/>
    <w:rsid w:val="00B829B8"/>
    <w:rsid w:val="00B86466"/>
    <w:rsid w:val="00BE7A34"/>
    <w:rsid w:val="00C77465"/>
    <w:rsid w:val="00CE3B63"/>
    <w:rsid w:val="00CF70B5"/>
    <w:rsid w:val="00D23986"/>
    <w:rsid w:val="00D36D79"/>
    <w:rsid w:val="00DA5555"/>
    <w:rsid w:val="00DC4CEA"/>
    <w:rsid w:val="00E27BC1"/>
    <w:rsid w:val="00E45054"/>
    <w:rsid w:val="00E67A4B"/>
    <w:rsid w:val="00EA29D8"/>
    <w:rsid w:val="00EA5615"/>
    <w:rsid w:val="00F2414C"/>
    <w:rsid w:val="00F241BB"/>
    <w:rsid w:val="00F36755"/>
    <w:rsid w:val="00FA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8B0F7"/>
  <w15:chartTrackingRefBased/>
  <w15:docId w15:val="{B41E62D7-28A5-436C-86CE-392B686D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9D8"/>
  </w:style>
  <w:style w:type="paragraph" w:styleId="Footer">
    <w:name w:val="footer"/>
    <w:basedOn w:val="Normal"/>
    <w:link w:val="FooterChar"/>
    <w:uiPriority w:val="99"/>
    <w:unhideWhenUsed/>
    <w:rsid w:val="00EA2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9D8"/>
  </w:style>
  <w:style w:type="character" w:styleId="Hyperlink">
    <w:name w:val="Hyperlink"/>
    <w:basedOn w:val="DefaultParagraphFont"/>
    <w:uiPriority w:val="99"/>
    <w:unhideWhenUsed/>
    <w:rsid w:val="0082150B"/>
    <w:rPr>
      <w:color w:val="0563C1" w:themeColor="hyperlink"/>
      <w:u w:val="single"/>
    </w:rPr>
  </w:style>
  <w:style w:type="character" w:customStyle="1" w:styleId="UnresolvedMention">
    <w:name w:val="Unresolved Mention"/>
    <w:basedOn w:val="DefaultParagraphFont"/>
    <w:uiPriority w:val="99"/>
    <w:semiHidden/>
    <w:unhideWhenUsed/>
    <w:rsid w:val="0082150B"/>
    <w:rPr>
      <w:color w:val="605E5C"/>
      <w:shd w:val="clear" w:color="auto" w:fill="E1DFDD"/>
    </w:rPr>
  </w:style>
  <w:style w:type="paragraph" w:styleId="NormalWeb">
    <w:name w:val="Normal (Web)"/>
    <w:basedOn w:val="Normal"/>
    <w:uiPriority w:val="99"/>
    <w:semiHidden/>
    <w:unhideWhenUsed/>
    <w:rsid w:val="00DC4C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37F5"/>
    <w:rPr>
      <w:b/>
      <w:bCs/>
    </w:rPr>
  </w:style>
  <w:style w:type="paragraph" w:styleId="ListParagraph">
    <w:name w:val="List Paragraph"/>
    <w:basedOn w:val="Normal"/>
    <w:uiPriority w:val="34"/>
    <w:qFormat/>
    <w:rsid w:val="00F241BB"/>
    <w:pPr>
      <w:spacing w:line="256" w:lineRule="auto"/>
      <w:ind w:left="720"/>
      <w:contextualSpacing/>
    </w:pPr>
  </w:style>
  <w:style w:type="character" w:styleId="FollowedHyperlink">
    <w:name w:val="FollowedHyperlink"/>
    <w:basedOn w:val="DefaultParagraphFont"/>
    <w:uiPriority w:val="99"/>
    <w:semiHidden/>
    <w:unhideWhenUsed/>
    <w:rsid w:val="00B86466"/>
    <w:rPr>
      <w:color w:val="954F72" w:themeColor="followedHyperlink"/>
      <w:u w:val="single"/>
    </w:rPr>
  </w:style>
  <w:style w:type="table" w:styleId="TableGrid">
    <w:name w:val="Table Grid"/>
    <w:basedOn w:val="TableNormal"/>
    <w:uiPriority w:val="39"/>
    <w:rsid w:val="009607C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efaultParagraphFont"/>
    <w:rsid w:val="00BE7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12757">
      <w:bodyDiv w:val="1"/>
      <w:marLeft w:val="0"/>
      <w:marRight w:val="0"/>
      <w:marTop w:val="0"/>
      <w:marBottom w:val="0"/>
      <w:divBdr>
        <w:top w:val="none" w:sz="0" w:space="0" w:color="auto"/>
        <w:left w:val="none" w:sz="0" w:space="0" w:color="auto"/>
        <w:bottom w:val="none" w:sz="0" w:space="0" w:color="auto"/>
        <w:right w:val="none" w:sz="0" w:space="0" w:color="auto"/>
      </w:divBdr>
    </w:div>
    <w:div w:id="430245808">
      <w:bodyDiv w:val="1"/>
      <w:marLeft w:val="0"/>
      <w:marRight w:val="0"/>
      <w:marTop w:val="0"/>
      <w:marBottom w:val="0"/>
      <w:divBdr>
        <w:top w:val="none" w:sz="0" w:space="0" w:color="auto"/>
        <w:left w:val="none" w:sz="0" w:space="0" w:color="auto"/>
        <w:bottom w:val="none" w:sz="0" w:space="0" w:color="auto"/>
        <w:right w:val="none" w:sz="0" w:space="0" w:color="auto"/>
      </w:divBdr>
      <w:divsChild>
        <w:div w:id="641499055">
          <w:marLeft w:val="0"/>
          <w:marRight w:val="0"/>
          <w:marTop w:val="0"/>
          <w:marBottom w:val="0"/>
          <w:divBdr>
            <w:top w:val="none" w:sz="0" w:space="0" w:color="auto"/>
            <w:left w:val="none" w:sz="0" w:space="0" w:color="auto"/>
            <w:bottom w:val="none" w:sz="0" w:space="0" w:color="auto"/>
            <w:right w:val="none" w:sz="0" w:space="0" w:color="auto"/>
          </w:divBdr>
          <w:divsChild>
            <w:div w:id="1130589760">
              <w:marLeft w:val="-225"/>
              <w:marRight w:val="-225"/>
              <w:marTop w:val="0"/>
              <w:marBottom w:val="225"/>
              <w:divBdr>
                <w:top w:val="none" w:sz="0" w:space="0" w:color="auto"/>
                <w:left w:val="none" w:sz="0" w:space="0" w:color="auto"/>
                <w:bottom w:val="none" w:sz="0" w:space="0" w:color="auto"/>
                <w:right w:val="none" w:sz="0" w:space="0" w:color="auto"/>
              </w:divBdr>
              <w:divsChild>
                <w:div w:id="849292112">
                  <w:marLeft w:val="0"/>
                  <w:marRight w:val="0"/>
                  <w:marTop w:val="0"/>
                  <w:marBottom w:val="0"/>
                  <w:divBdr>
                    <w:top w:val="none" w:sz="0" w:space="0" w:color="auto"/>
                    <w:left w:val="none" w:sz="0" w:space="0" w:color="auto"/>
                    <w:bottom w:val="none" w:sz="0" w:space="0" w:color="auto"/>
                    <w:right w:val="none" w:sz="0" w:space="0" w:color="auto"/>
                  </w:divBdr>
                  <w:divsChild>
                    <w:div w:id="1635404493">
                      <w:marLeft w:val="0"/>
                      <w:marRight w:val="0"/>
                      <w:marTop w:val="0"/>
                      <w:marBottom w:val="0"/>
                      <w:divBdr>
                        <w:top w:val="single" w:sz="6" w:space="7" w:color="E3E3E3"/>
                        <w:left w:val="single" w:sz="6" w:space="7" w:color="E3E3E3"/>
                        <w:bottom w:val="single" w:sz="6" w:space="7" w:color="E3E3E3"/>
                        <w:right w:val="single" w:sz="6" w:space="7" w:color="E3E3E3"/>
                      </w:divBdr>
                    </w:div>
                  </w:divsChild>
                </w:div>
              </w:divsChild>
            </w:div>
            <w:div w:id="761488352">
              <w:marLeft w:val="-225"/>
              <w:marRight w:val="-225"/>
              <w:marTop w:val="0"/>
              <w:marBottom w:val="225"/>
              <w:divBdr>
                <w:top w:val="none" w:sz="0" w:space="0" w:color="auto"/>
                <w:left w:val="none" w:sz="0" w:space="0" w:color="auto"/>
                <w:bottom w:val="none" w:sz="0" w:space="0" w:color="auto"/>
                <w:right w:val="none" w:sz="0" w:space="0" w:color="auto"/>
              </w:divBdr>
              <w:divsChild>
                <w:div w:id="11203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5504">
      <w:bodyDiv w:val="1"/>
      <w:marLeft w:val="0"/>
      <w:marRight w:val="0"/>
      <w:marTop w:val="0"/>
      <w:marBottom w:val="0"/>
      <w:divBdr>
        <w:top w:val="none" w:sz="0" w:space="0" w:color="auto"/>
        <w:left w:val="none" w:sz="0" w:space="0" w:color="auto"/>
        <w:bottom w:val="none" w:sz="0" w:space="0" w:color="auto"/>
        <w:right w:val="none" w:sz="0" w:space="0" w:color="auto"/>
      </w:divBdr>
      <w:divsChild>
        <w:div w:id="145517923">
          <w:marLeft w:val="0"/>
          <w:marRight w:val="0"/>
          <w:marTop w:val="0"/>
          <w:marBottom w:val="0"/>
          <w:divBdr>
            <w:top w:val="none" w:sz="0" w:space="0" w:color="auto"/>
            <w:left w:val="none" w:sz="0" w:space="0" w:color="auto"/>
            <w:bottom w:val="none" w:sz="0" w:space="0" w:color="auto"/>
            <w:right w:val="none" w:sz="0" w:space="0" w:color="auto"/>
          </w:divBdr>
          <w:divsChild>
            <w:div w:id="1618870356">
              <w:marLeft w:val="-225"/>
              <w:marRight w:val="-225"/>
              <w:marTop w:val="0"/>
              <w:marBottom w:val="225"/>
              <w:divBdr>
                <w:top w:val="none" w:sz="0" w:space="0" w:color="auto"/>
                <w:left w:val="none" w:sz="0" w:space="0" w:color="auto"/>
                <w:bottom w:val="none" w:sz="0" w:space="0" w:color="auto"/>
                <w:right w:val="none" w:sz="0" w:space="0" w:color="auto"/>
              </w:divBdr>
              <w:divsChild>
                <w:div w:id="688406658">
                  <w:marLeft w:val="0"/>
                  <w:marRight w:val="0"/>
                  <w:marTop w:val="0"/>
                  <w:marBottom w:val="0"/>
                  <w:divBdr>
                    <w:top w:val="none" w:sz="0" w:space="0" w:color="auto"/>
                    <w:left w:val="none" w:sz="0" w:space="0" w:color="auto"/>
                    <w:bottom w:val="none" w:sz="0" w:space="0" w:color="auto"/>
                    <w:right w:val="none" w:sz="0" w:space="0" w:color="auto"/>
                  </w:divBdr>
                  <w:divsChild>
                    <w:div w:id="1696344148">
                      <w:marLeft w:val="0"/>
                      <w:marRight w:val="0"/>
                      <w:marTop w:val="0"/>
                      <w:marBottom w:val="0"/>
                      <w:divBdr>
                        <w:top w:val="single" w:sz="6" w:space="7" w:color="E3E3E3"/>
                        <w:left w:val="single" w:sz="6" w:space="7" w:color="E3E3E3"/>
                        <w:bottom w:val="single" w:sz="6" w:space="7" w:color="E3E3E3"/>
                        <w:right w:val="single" w:sz="6" w:space="7" w:color="E3E3E3"/>
                      </w:divBdr>
                    </w:div>
                  </w:divsChild>
                </w:div>
              </w:divsChild>
            </w:div>
            <w:div w:id="1606618587">
              <w:marLeft w:val="-225"/>
              <w:marRight w:val="-225"/>
              <w:marTop w:val="0"/>
              <w:marBottom w:val="225"/>
              <w:divBdr>
                <w:top w:val="none" w:sz="0" w:space="0" w:color="auto"/>
                <w:left w:val="none" w:sz="0" w:space="0" w:color="auto"/>
                <w:bottom w:val="none" w:sz="0" w:space="0" w:color="auto"/>
                <w:right w:val="none" w:sz="0" w:space="0" w:color="auto"/>
              </w:divBdr>
              <w:divsChild>
                <w:div w:id="4536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54538">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C5252-FC72-4543-B1F9-F1FB5053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2480</Words>
  <Characters>1415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Sitnikovaitė</dc:creator>
  <cp:keywords/>
  <dc:description/>
  <cp:lastModifiedBy>„Windows“ vartotojas</cp:lastModifiedBy>
  <cp:revision>2</cp:revision>
  <dcterms:created xsi:type="dcterms:W3CDTF">2021-11-26T09:26:00Z</dcterms:created>
  <dcterms:modified xsi:type="dcterms:W3CDTF">2021-11-26T09:26:00Z</dcterms:modified>
</cp:coreProperties>
</file>