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B480" w14:textId="77777777" w:rsidR="00211CEF" w:rsidRDefault="00F03DC5" w:rsidP="00211CEF">
      <w:pPr>
        <w:pStyle w:val="Antrats"/>
        <w:jc w:val="center"/>
        <w:rPr>
          <w:b/>
          <w:bCs/>
          <w:caps/>
          <w:sz w:val="26"/>
        </w:rPr>
      </w:pPr>
      <w:bookmarkStart w:id="0" w:name="Institucija"/>
      <w:bookmarkStart w:id="1" w:name="Forma"/>
      <w:r>
        <w:rPr>
          <w:noProof/>
          <w:lang w:eastAsia="lt-LT"/>
        </w:rPr>
        <mc:AlternateContent>
          <mc:Choice Requires="wps">
            <w:drawing>
              <wp:anchor distT="0" distB="0" distL="114300" distR="114300" simplePos="0" relativeHeight="251659264" behindDoc="0" locked="0" layoutInCell="1" allowOverlap="1" wp14:anchorId="79A8A67D" wp14:editId="5607FD9F">
                <wp:simplePos x="0" y="0"/>
                <wp:positionH relativeFrom="margin">
                  <wp:align>right</wp:align>
                </wp:positionH>
                <wp:positionV relativeFrom="paragraph">
                  <wp:posOffset>-816610</wp:posOffset>
                </wp:positionV>
                <wp:extent cx="2228850"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47700"/>
                        </a:xfrm>
                        <a:prstGeom prst="rect">
                          <a:avLst/>
                        </a:prstGeom>
                        <a:solidFill>
                          <a:srgbClr val="FFFFFF"/>
                        </a:solidFill>
                        <a:ln>
                          <a:noFill/>
                        </a:ln>
                      </wps:spPr>
                      <wps:txbx>
                        <w:txbxContent>
                          <w:p w14:paraId="6C8AA81A" w14:textId="77777777" w:rsidR="007C7E38" w:rsidRDefault="007C7E38" w:rsidP="00733495">
                            <w:pPr>
                              <w:rPr>
                                <w:b/>
                              </w:rPr>
                            </w:pPr>
                            <w:r>
                              <w:rPr>
                                <w:b/>
                                <w:bCs/>
                              </w:rPr>
                              <w:t>projektas</w:t>
                            </w:r>
                          </w:p>
                          <w:p w14:paraId="1E5FE52F" w14:textId="7185581E" w:rsidR="007C7E38" w:rsidRDefault="007C7E38" w:rsidP="00733495">
                            <w:pPr>
                              <w:rPr>
                                <w:b/>
                              </w:rPr>
                            </w:pPr>
                            <w:proofErr w:type="spellStart"/>
                            <w:r>
                              <w:rPr>
                                <w:b/>
                              </w:rPr>
                              <w:t>reg</w:t>
                            </w:r>
                            <w:proofErr w:type="spellEnd"/>
                            <w:r>
                              <w:rPr>
                                <w:b/>
                              </w:rPr>
                              <w:t>. Nr. T-</w:t>
                            </w:r>
                            <w:r w:rsidR="00082DFC">
                              <w:rPr>
                                <w:b/>
                              </w:rPr>
                              <w:t>40</w:t>
                            </w:r>
                          </w:p>
                          <w:p w14:paraId="5FE7F9BD" w14:textId="7FC09115" w:rsidR="007C7E38" w:rsidRDefault="007C7E38" w:rsidP="00733495">
                            <w:pPr>
                              <w:rPr>
                                <w:b/>
                              </w:rPr>
                            </w:pPr>
                            <w:r>
                              <w:rPr>
                                <w:b/>
                              </w:rPr>
                              <w:t>2.</w:t>
                            </w:r>
                            <w:r w:rsidR="00082DFC">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8A67D" id="_x0000_t202" coordsize="21600,21600" o:spt="202" path="m,l,21600r21600,l21600,xe">
                <v:stroke joinstyle="miter"/>
                <v:path gradientshapeok="t" o:connecttype="rect"/>
              </v:shapetype>
              <v:shape id="Text Box 1" o:spid="_x0000_s1026" type="#_x0000_t202" style="position:absolute;left:0;text-align:left;margin-left:124.3pt;margin-top:-64.3pt;width:175.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" stroked="f">
                <v:textbox>
                  <w:txbxContent>
                    <w:p w14:paraId="6C8AA81A" w14:textId="77777777" w:rsidR="007C7E38" w:rsidRDefault="007C7E38" w:rsidP="00733495">
                      <w:pPr>
                        <w:rPr>
                          <w:b/>
                        </w:rPr>
                      </w:pPr>
                      <w:r>
                        <w:rPr>
                          <w:b/>
                          <w:bCs/>
                        </w:rPr>
                        <w:t>projektas</w:t>
                      </w:r>
                    </w:p>
                    <w:p w14:paraId="1E5FE52F" w14:textId="7185581E" w:rsidR="007C7E38" w:rsidRDefault="007C7E38" w:rsidP="00733495">
                      <w:pPr>
                        <w:rPr>
                          <w:b/>
                        </w:rPr>
                      </w:pPr>
                      <w:proofErr w:type="spellStart"/>
                      <w:r>
                        <w:rPr>
                          <w:b/>
                        </w:rPr>
                        <w:t>reg</w:t>
                      </w:r>
                      <w:proofErr w:type="spellEnd"/>
                      <w:r>
                        <w:rPr>
                          <w:b/>
                        </w:rPr>
                        <w:t>. Nr. T-</w:t>
                      </w:r>
                      <w:r w:rsidR="00082DFC">
                        <w:rPr>
                          <w:b/>
                        </w:rPr>
                        <w:t>40</w:t>
                      </w:r>
                    </w:p>
                    <w:p w14:paraId="5FE7F9BD" w14:textId="7FC09115" w:rsidR="007C7E38" w:rsidRDefault="007C7E38" w:rsidP="00733495">
                      <w:pPr>
                        <w:rPr>
                          <w:b/>
                        </w:rPr>
                      </w:pPr>
                      <w:r>
                        <w:rPr>
                          <w:b/>
                        </w:rPr>
                        <w:t>2.</w:t>
                      </w:r>
                      <w:r w:rsidR="00082DFC">
                        <w:rPr>
                          <w:b/>
                        </w:rPr>
                        <w:t>2.</w:t>
                      </w:r>
                      <w:r>
                        <w:rPr>
                          <w:b/>
                        </w:rPr>
                        <w:t xml:space="preserve"> darbotvarkės klausimas</w:t>
                      </w:r>
                    </w:p>
                  </w:txbxContent>
                </v:textbox>
                <w10:wrap anchorx="margin"/>
              </v:shape>
            </w:pict>
          </mc:Fallback>
        </mc:AlternateContent>
      </w:r>
      <w:r w:rsidR="00211CEF">
        <w:rPr>
          <w:b/>
          <w:bCs/>
          <w:caps/>
          <w:sz w:val="26"/>
        </w:rPr>
        <w:t>Pasvalio rajono savivaldybės taryba</w:t>
      </w:r>
      <w:bookmarkEnd w:id="0"/>
    </w:p>
    <w:p w14:paraId="61B04812" w14:textId="77777777" w:rsidR="00211CEF" w:rsidRDefault="00211CEF" w:rsidP="003B5018">
      <w:pPr>
        <w:jc w:val="center"/>
        <w:rPr>
          <w:b/>
          <w:caps/>
        </w:rPr>
      </w:pPr>
    </w:p>
    <w:p w14:paraId="42C9D5DF" w14:textId="77777777" w:rsidR="003B5018" w:rsidRPr="003B5018" w:rsidRDefault="003B5018" w:rsidP="003B5018">
      <w:pPr>
        <w:jc w:val="center"/>
        <w:rPr>
          <w:b/>
          <w:caps/>
        </w:rPr>
      </w:pPr>
      <w:r w:rsidRPr="003B5018">
        <w:rPr>
          <w:b/>
          <w:caps/>
        </w:rPr>
        <w:t>Sprendimas</w:t>
      </w:r>
      <w:bookmarkEnd w:id="1"/>
    </w:p>
    <w:p w14:paraId="541EA51A" w14:textId="08145BD5" w:rsidR="003B5018" w:rsidRPr="003B5018" w:rsidRDefault="003B5018" w:rsidP="003B5018">
      <w:pPr>
        <w:jc w:val="center"/>
        <w:rPr>
          <w:b/>
          <w:caps/>
        </w:rPr>
      </w:pPr>
      <w:bookmarkStart w:id="2" w:name="Pavadinimas"/>
      <w:r w:rsidRPr="003B5018">
        <w:rPr>
          <w:b/>
          <w:caps/>
        </w:rPr>
        <w:t>Dėl</w:t>
      </w:r>
      <w:r>
        <w:rPr>
          <w:b/>
          <w:caps/>
        </w:rPr>
        <w:t xml:space="preserve"> </w:t>
      </w:r>
      <w:r w:rsidR="00C75221">
        <w:rPr>
          <w:b/>
          <w:caps/>
        </w:rPr>
        <w:t>SUTIKIMO</w:t>
      </w:r>
      <w:r w:rsidR="00E55015">
        <w:rPr>
          <w:b/>
          <w:caps/>
        </w:rPr>
        <w:t xml:space="preserve"> </w:t>
      </w:r>
      <w:r w:rsidR="000C0C51">
        <w:rPr>
          <w:b/>
          <w:caps/>
        </w:rPr>
        <w:t>DALYVA</w:t>
      </w:r>
      <w:r w:rsidR="00C75221">
        <w:rPr>
          <w:b/>
          <w:caps/>
        </w:rPr>
        <w:t>UTI</w:t>
      </w:r>
      <w:r w:rsidR="000C0C51">
        <w:rPr>
          <w:b/>
          <w:caps/>
        </w:rPr>
        <w:t xml:space="preserve"> </w:t>
      </w:r>
      <w:r w:rsidR="00C75221">
        <w:rPr>
          <w:b/>
          <w:caps/>
        </w:rPr>
        <w:t xml:space="preserve">PARTNERIO TEISĖMIS </w:t>
      </w:r>
      <w:r w:rsidR="000C0C51">
        <w:rPr>
          <w:b/>
          <w:caps/>
        </w:rPr>
        <w:t>,,TŪKSTANTMEČIO MOKYKLŲ“ PROGRAMOJE</w:t>
      </w:r>
      <w:r w:rsidR="00D778F0">
        <w:rPr>
          <w:b/>
          <w:caps/>
        </w:rPr>
        <w:t xml:space="preserve"> </w:t>
      </w:r>
    </w:p>
    <w:bookmarkEnd w:id="2"/>
    <w:p w14:paraId="36B0AF29" w14:textId="77777777" w:rsidR="003B5018" w:rsidRDefault="003B5018" w:rsidP="003B5018">
      <w:pPr>
        <w:jc w:val="center"/>
      </w:pPr>
    </w:p>
    <w:p w14:paraId="333C9422" w14:textId="77777777" w:rsidR="003B5018" w:rsidRDefault="003B5018" w:rsidP="003B5018">
      <w:pPr>
        <w:jc w:val="center"/>
      </w:pPr>
      <w:bookmarkStart w:id="3" w:name="Data"/>
      <w:r>
        <w:t>20</w:t>
      </w:r>
      <w:r w:rsidR="0026011A">
        <w:t>2</w:t>
      </w:r>
      <w:r w:rsidR="000C0C51">
        <w:t>2</w:t>
      </w:r>
      <w:r>
        <w:t xml:space="preserve"> m. </w:t>
      </w:r>
      <w:r w:rsidR="000C0C51">
        <w:t>vasario</w:t>
      </w:r>
      <w:r w:rsidR="0026011A">
        <w:t xml:space="preserve">  </w:t>
      </w:r>
      <w:r>
        <w:t xml:space="preserve"> d.</w:t>
      </w:r>
      <w:bookmarkEnd w:id="3"/>
      <w:r w:rsidR="008659CA">
        <w:t xml:space="preserve"> </w:t>
      </w:r>
      <w:r>
        <w:t xml:space="preserve">Nr. </w:t>
      </w:r>
      <w:bookmarkStart w:id="4" w:name="Nr"/>
      <w:r>
        <w:t xml:space="preserve">T1- </w:t>
      </w:r>
    </w:p>
    <w:bookmarkEnd w:id="4"/>
    <w:p w14:paraId="360BA6D5" w14:textId="77777777" w:rsidR="003B5018" w:rsidRDefault="003B5018" w:rsidP="003B5018">
      <w:pPr>
        <w:jc w:val="center"/>
      </w:pPr>
      <w:r>
        <w:t>Pasvalys</w:t>
      </w:r>
    </w:p>
    <w:p w14:paraId="7FB4FAC2" w14:textId="77777777" w:rsidR="000F3306" w:rsidRDefault="000F3306">
      <w:pPr>
        <w:pStyle w:val="Antrats"/>
        <w:tabs>
          <w:tab w:val="clear" w:pos="4153"/>
          <w:tab w:val="clear" w:pos="8306"/>
        </w:tabs>
      </w:pPr>
    </w:p>
    <w:p w14:paraId="5D04D8FD" w14:textId="49E6F13E" w:rsidR="00AE7837" w:rsidRDefault="00093564" w:rsidP="00E1049B">
      <w:pPr>
        <w:jc w:val="both"/>
        <w:rPr>
          <w:rFonts w:eastAsia="Calibri"/>
          <w:szCs w:val="24"/>
        </w:rPr>
      </w:pPr>
      <w:r>
        <w:tab/>
      </w:r>
      <w:r w:rsidR="00AE7837">
        <w:t xml:space="preserve">Vadovaudamasi Lietuvos Respublikos vietos savivaldos įstatymo 16 straipsnio 4 dalimi, </w:t>
      </w:r>
      <w:r w:rsidR="000C0C51">
        <w:t>,,</w:t>
      </w:r>
      <w:r w:rsidR="000C0C51">
        <w:rPr>
          <w:szCs w:val="24"/>
        </w:rPr>
        <w:t xml:space="preserve">Tūkstantmečio mokyklų“ programos, patvirtintos Lietuvos Respublikos švietimo, mokslo ir sporto ministro 2022 m. sausio </w:t>
      </w:r>
      <w:r w:rsidR="00432924">
        <w:rPr>
          <w:szCs w:val="24"/>
        </w:rPr>
        <w:t xml:space="preserve">31 </w:t>
      </w:r>
      <w:r w:rsidR="000C0C51">
        <w:rPr>
          <w:szCs w:val="24"/>
        </w:rPr>
        <w:t>d. įsakymu Nr. V-</w:t>
      </w:r>
      <w:r w:rsidR="00432924">
        <w:rPr>
          <w:szCs w:val="24"/>
        </w:rPr>
        <w:t>137</w:t>
      </w:r>
      <w:r w:rsidR="000C0C51">
        <w:rPr>
          <w:szCs w:val="24"/>
        </w:rPr>
        <w:t xml:space="preserve"> ,,Dėl </w:t>
      </w:r>
      <w:r w:rsidR="00432924">
        <w:rPr>
          <w:szCs w:val="24"/>
        </w:rPr>
        <w:t>,,Tūkstantmečio mokyklų“ programos patvirtinimo“</w:t>
      </w:r>
      <w:r w:rsidR="000C0C51">
        <w:rPr>
          <w:szCs w:val="24"/>
        </w:rPr>
        <w:t>, 17</w:t>
      </w:r>
      <w:r w:rsidR="00432924">
        <w:rPr>
          <w:szCs w:val="24"/>
        </w:rPr>
        <w:t>.1</w:t>
      </w:r>
      <w:r w:rsidR="000C0C51">
        <w:rPr>
          <w:szCs w:val="24"/>
        </w:rPr>
        <w:t xml:space="preserve"> </w:t>
      </w:r>
      <w:r w:rsidR="00CA3AB7">
        <w:rPr>
          <w:szCs w:val="24"/>
        </w:rPr>
        <w:t>papunkčiu</w:t>
      </w:r>
      <w:r w:rsidR="00D778F0">
        <w:rPr>
          <w:szCs w:val="24"/>
        </w:rPr>
        <w:t>,</w:t>
      </w:r>
      <w:r w:rsidR="00CA3AB7">
        <w:rPr>
          <w:szCs w:val="24"/>
        </w:rPr>
        <w:t xml:space="preserve"> </w:t>
      </w:r>
      <w:r w:rsidR="00AE7837">
        <w:rPr>
          <w:rFonts w:eastAsia="Calibri"/>
          <w:szCs w:val="24"/>
        </w:rPr>
        <w:t xml:space="preserve">Pasvalio rajono savivaldybės taryba </w:t>
      </w:r>
      <w:r w:rsidR="0069473A">
        <w:rPr>
          <w:rFonts w:eastAsia="Calibri"/>
          <w:szCs w:val="24"/>
        </w:rPr>
        <w:t xml:space="preserve"> </w:t>
      </w:r>
      <w:r w:rsidR="00AE7837">
        <w:rPr>
          <w:rFonts w:eastAsia="Calibri"/>
          <w:szCs w:val="24"/>
        </w:rPr>
        <w:t>nusp</w:t>
      </w:r>
      <w:r w:rsidR="00DE3179">
        <w:rPr>
          <w:rFonts w:eastAsia="Calibri"/>
          <w:szCs w:val="24"/>
        </w:rPr>
        <w:t>r</w:t>
      </w:r>
      <w:r w:rsidR="00AE7837">
        <w:rPr>
          <w:rFonts w:eastAsia="Calibri"/>
          <w:szCs w:val="24"/>
        </w:rPr>
        <w:t>endž</w:t>
      </w:r>
      <w:r w:rsidR="00DE3179">
        <w:rPr>
          <w:rFonts w:eastAsia="Calibri"/>
          <w:szCs w:val="24"/>
        </w:rPr>
        <w:t>i</w:t>
      </w:r>
      <w:r w:rsidR="00AE7837">
        <w:rPr>
          <w:rFonts w:eastAsia="Calibri"/>
          <w:szCs w:val="24"/>
        </w:rPr>
        <w:t>a</w:t>
      </w:r>
      <w:r w:rsidR="00A01C28">
        <w:rPr>
          <w:rFonts w:eastAsia="Calibri"/>
          <w:szCs w:val="24"/>
        </w:rPr>
        <w:t>:</w:t>
      </w:r>
    </w:p>
    <w:p w14:paraId="1E054D23" w14:textId="17E9BB78" w:rsidR="000E6685" w:rsidRDefault="00AE7837" w:rsidP="000F7EBC">
      <w:pPr>
        <w:pStyle w:val="Antrats"/>
        <w:tabs>
          <w:tab w:val="clear" w:pos="4153"/>
          <w:tab w:val="clear" w:pos="8306"/>
        </w:tabs>
        <w:jc w:val="both"/>
        <w:rPr>
          <w:rFonts w:eastAsia="Calibri"/>
          <w:szCs w:val="24"/>
        </w:rPr>
      </w:pPr>
      <w:r>
        <w:rPr>
          <w:rFonts w:eastAsia="Calibri"/>
          <w:szCs w:val="24"/>
        </w:rPr>
        <w:tab/>
      </w:r>
      <w:r w:rsidR="00A01C28">
        <w:rPr>
          <w:rFonts w:eastAsia="Calibri"/>
          <w:szCs w:val="24"/>
        </w:rPr>
        <w:t xml:space="preserve">1. </w:t>
      </w:r>
      <w:r w:rsidR="000E6685">
        <w:rPr>
          <w:rFonts w:eastAsia="Calibri"/>
          <w:szCs w:val="24"/>
        </w:rPr>
        <w:t xml:space="preserve">Sutikti dalyvauti </w:t>
      </w:r>
      <w:r w:rsidR="00663E87">
        <w:rPr>
          <w:szCs w:val="24"/>
        </w:rPr>
        <w:t>partnerio teisėmis</w:t>
      </w:r>
      <w:r w:rsidR="00663E87">
        <w:rPr>
          <w:rFonts w:eastAsia="Calibri"/>
          <w:szCs w:val="24"/>
        </w:rPr>
        <w:t xml:space="preserve"> </w:t>
      </w:r>
      <w:r w:rsidR="000E6685">
        <w:rPr>
          <w:rFonts w:eastAsia="Calibri"/>
          <w:szCs w:val="24"/>
        </w:rPr>
        <w:t>„</w:t>
      </w:r>
      <w:r w:rsidR="000E6685">
        <w:rPr>
          <w:szCs w:val="24"/>
        </w:rPr>
        <w:t>Tūkstantmečio mokyklų“ programoje</w:t>
      </w:r>
      <w:r w:rsidR="00757020">
        <w:rPr>
          <w:szCs w:val="24"/>
        </w:rPr>
        <w:t xml:space="preserve"> (toliau – Programa)</w:t>
      </w:r>
      <w:r w:rsidR="000E6685">
        <w:rPr>
          <w:szCs w:val="24"/>
        </w:rPr>
        <w:t xml:space="preserve">. </w:t>
      </w:r>
    </w:p>
    <w:p w14:paraId="5D6A0133" w14:textId="5E9049A0" w:rsidR="00757020" w:rsidRDefault="00B97014" w:rsidP="00757020">
      <w:pPr>
        <w:suppressAutoHyphens/>
        <w:autoSpaceDN w:val="0"/>
        <w:ind w:firstLine="720"/>
        <w:jc w:val="both"/>
        <w:textAlignment w:val="baseline"/>
      </w:pPr>
      <w:r w:rsidRPr="00B97014">
        <w:rPr>
          <w:szCs w:val="24"/>
          <w:lang w:eastAsia="lt-LT"/>
        </w:rPr>
        <w:t>2</w:t>
      </w:r>
      <w:r w:rsidR="00757020" w:rsidRPr="00B97014">
        <w:rPr>
          <w:szCs w:val="24"/>
          <w:lang w:eastAsia="lt-LT"/>
        </w:rPr>
        <w:t>. P</w:t>
      </w:r>
      <w:r w:rsidR="00757020" w:rsidRPr="00B97014">
        <w:rPr>
          <w:szCs w:val="24"/>
        </w:rPr>
        <w:t>adengti pagal Programą įgyvendinti visas netinkamas finansuoti, tačiau</w:t>
      </w:r>
      <w:r w:rsidR="00757020" w:rsidRPr="00B97014">
        <w:rPr>
          <w:rStyle w:val="Grietas"/>
          <w:szCs w:val="24"/>
          <w:shd w:val="clear" w:color="auto" w:fill="FFFFFF"/>
        </w:rPr>
        <w:t xml:space="preserve"> </w:t>
      </w:r>
      <w:r w:rsidR="00757020" w:rsidRPr="00B97014">
        <w:rPr>
          <w:rStyle w:val="Grietas"/>
          <w:b w:val="0"/>
          <w:bCs w:val="0"/>
          <w:szCs w:val="24"/>
          <w:shd w:val="clear" w:color="auto" w:fill="FFFFFF"/>
        </w:rPr>
        <w:t>Pr</w:t>
      </w:r>
      <w:r w:rsidR="00F00EEA">
        <w:rPr>
          <w:rStyle w:val="Grietas"/>
          <w:b w:val="0"/>
          <w:bCs w:val="0"/>
          <w:szCs w:val="24"/>
          <w:shd w:val="clear" w:color="auto" w:fill="FFFFFF"/>
        </w:rPr>
        <w:t>ogramai</w:t>
      </w:r>
      <w:r w:rsidR="00757020" w:rsidRPr="00B97014">
        <w:rPr>
          <w:rStyle w:val="Grietas"/>
          <w:szCs w:val="24"/>
          <w:shd w:val="clear" w:color="auto" w:fill="FFFFFF"/>
        </w:rPr>
        <w:t xml:space="preserve"> </w:t>
      </w:r>
      <w:r w:rsidR="008A522B" w:rsidRPr="008A522B">
        <w:rPr>
          <w:rStyle w:val="Grietas"/>
          <w:b w:val="0"/>
          <w:bCs w:val="0"/>
          <w:szCs w:val="24"/>
          <w:shd w:val="clear" w:color="auto" w:fill="FFFFFF"/>
        </w:rPr>
        <w:t>įgyvendinti</w:t>
      </w:r>
      <w:r w:rsidR="008A522B">
        <w:rPr>
          <w:rStyle w:val="Grietas"/>
          <w:szCs w:val="24"/>
          <w:shd w:val="clear" w:color="auto" w:fill="FFFFFF"/>
        </w:rPr>
        <w:t xml:space="preserve"> </w:t>
      </w:r>
      <w:r w:rsidR="00757020" w:rsidRPr="00B97014">
        <w:rPr>
          <w:szCs w:val="24"/>
        </w:rPr>
        <w:t xml:space="preserve">būtinas išlaidas ir tinkamas išlaidas, kurių nepadengia </w:t>
      </w:r>
      <w:r w:rsidR="00AE60B6">
        <w:rPr>
          <w:szCs w:val="24"/>
        </w:rPr>
        <w:t>Programos p</w:t>
      </w:r>
      <w:r w:rsidR="00757020" w:rsidRPr="00B97014">
        <w:rPr>
          <w:szCs w:val="24"/>
        </w:rPr>
        <w:t>rojekto finansavimas.</w:t>
      </w:r>
    </w:p>
    <w:p w14:paraId="091D2D43" w14:textId="38095B51" w:rsidR="00486638" w:rsidRDefault="00A01C28" w:rsidP="00486638">
      <w:pPr>
        <w:pStyle w:val="Antrats"/>
        <w:tabs>
          <w:tab w:val="clear" w:pos="4153"/>
          <w:tab w:val="clear" w:pos="8306"/>
        </w:tabs>
        <w:jc w:val="both"/>
        <w:rPr>
          <w:rFonts w:eastAsia="Calibri"/>
          <w:szCs w:val="24"/>
        </w:rPr>
      </w:pPr>
      <w:r>
        <w:rPr>
          <w:rFonts w:eastAsia="Calibri"/>
          <w:szCs w:val="24"/>
        </w:rPr>
        <w:tab/>
      </w:r>
      <w:r w:rsidR="00B97014">
        <w:rPr>
          <w:rFonts w:eastAsia="Calibri"/>
          <w:szCs w:val="24"/>
        </w:rPr>
        <w:t>3</w:t>
      </w:r>
      <w:r>
        <w:rPr>
          <w:rFonts w:eastAsia="Calibri"/>
          <w:szCs w:val="24"/>
        </w:rPr>
        <w:t xml:space="preserve">. </w:t>
      </w:r>
      <w:r w:rsidRPr="00BF6903">
        <w:rPr>
          <w:spacing w:val="-6"/>
          <w:szCs w:val="24"/>
        </w:rPr>
        <w:t>Įgalioti</w:t>
      </w:r>
      <w:r w:rsidRPr="00C52068">
        <w:rPr>
          <w:spacing w:val="-6"/>
          <w:szCs w:val="24"/>
        </w:rPr>
        <w:t xml:space="preserve"> </w:t>
      </w:r>
      <w:r w:rsidR="005D4C5B">
        <w:rPr>
          <w:rFonts w:eastAsia="Calibri"/>
          <w:szCs w:val="24"/>
        </w:rPr>
        <w:t xml:space="preserve">Pasvalio rajono savivaldybės </w:t>
      </w:r>
      <w:r w:rsidR="005D4C5B">
        <w:rPr>
          <w:color w:val="000000"/>
          <w:szCs w:val="24"/>
          <w:shd w:val="clear" w:color="auto" w:fill="FFFFFF"/>
        </w:rPr>
        <w:t>a</w:t>
      </w:r>
      <w:r w:rsidRPr="00C52068">
        <w:rPr>
          <w:color w:val="000000"/>
          <w:szCs w:val="24"/>
          <w:shd w:val="clear" w:color="auto" w:fill="FFFFFF"/>
        </w:rPr>
        <w:t>dministracijos direktorių pasir</w:t>
      </w:r>
      <w:r>
        <w:rPr>
          <w:color w:val="000000"/>
          <w:szCs w:val="24"/>
          <w:shd w:val="clear" w:color="auto" w:fill="FFFFFF"/>
        </w:rPr>
        <w:t xml:space="preserve">ašyti </w:t>
      </w:r>
      <w:r w:rsidR="00AE60B6">
        <w:rPr>
          <w:color w:val="000000"/>
          <w:szCs w:val="24"/>
          <w:shd w:val="clear" w:color="auto" w:fill="FFFFFF"/>
        </w:rPr>
        <w:t xml:space="preserve">dokumentus </w:t>
      </w:r>
      <w:r w:rsidR="00AE60B6">
        <w:rPr>
          <w:rFonts w:eastAsia="Calibri"/>
          <w:szCs w:val="24"/>
        </w:rPr>
        <w:t xml:space="preserve"> </w:t>
      </w:r>
      <w:r>
        <w:rPr>
          <w:rFonts w:eastAsia="Calibri"/>
          <w:szCs w:val="24"/>
        </w:rPr>
        <w:t xml:space="preserve">susijusius </w:t>
      </w:r>
      <w:r w:rsidR="00AE60B6">
        <w:rPr>
          <w:rFonts w:eastAsia="Calibri"/>
          <w:szCs w:val="24"/>
        </w:rPr>
        <w:t>su Programos įgyvendinimu</w:t>
      </w:r>
      <w:r>
        <w:rPr>
          <w:rFonts w:eastAsia="Calibri"/>
          <w:szCs w:val="24"/>
        </w:rPr>
        <w:t>.</w:t>
      </w:r>
    </w:p>
    <w:p w14:paraId="3F5E1564" w14:textId="1548B6B7" w:rsidR="000E6685" w:rsidRDefault="000E6685" w:rsidP="00486638">
      <w:pPr>
        <w:pStyle w:val="Antrats"/>
        <w:tabs>
          <w:tab w:val="clear" w:pos="4153"/>
          <w:tab w:val="clear" w:pos="8306"/>
        </w:tabs>
        <w:jc w:val="both"/>
        <w:rPr>
          <w:rFonts w:eastAsia="Calibri"/>
          <w:szCs w:val="24"/>
        </w:rPr>
      </w:pPr>
      <w:r>
        <w:rPr>
          <w:rFonts w:eastAsia="Calibri"/>
          <w:szCs w:val="24"/>
        </w:rPr>
        <w:tab/>
      </w:r>
      <w:r w:rsidR="00B97014">
        <w:rPr>
          <w:rFonts w:eastAsia="Calibri"/>
          <w:szCs w:val="24"/>
        </w:rPr>
        <w:t>4</w:t>
      </w:r>
      <w:r>
        <w:rPr>
          <w:rFonts w:eastAsia="Calibri"/>
          <w:szCs w:val="24"/>
        </w:rPr>
        <w:t xml:space="preserve">. Nustatyti, kad šis sprendimas skelbiamas Teisės </w:t>
      </w:r>
      <w:r w:rsidRPr="008A522B">
        <w:rPr>
          <w:rFonts w:eastAsia="Calibri"/>
          <w:szCs w:val="24"/>
        </w:rPr>
        <w:t>aktų registre</w:t>
      </w:r>
      <w:r w:rsidR="00663E87">
        <w:rPr>
          <w:rFonts w:eastAsia="Calibri"/>
          <w:szCs w:val="24"/>
        </w:rPr>
        <w:t xml:space="preserve"> ir Pasvalio rajono savivaldybės </w:t>
      </w:r>
      <w:r w:rsidR="00663E87">
        <w:t>interneto</w:t>
      </w:r>
      <w:r w:rsidR="00663E87">
        <w:rPr>
          <w:rFonts w:eastAsia="Calibri"/>
          <w:szCs w:val="24"/>
        </w:rPr>
        <w:t xml:space="preserve"> svetainėje </w:t>
      </w:r>
      <w:r w:rsidR="00663E87">
        <w:t>www.pasvalys.lt</w:t>
      </w:r>
      <w:r>
        <w:rPr>
          <w:rFonts w:eastAsia="Calibri"/>
          <w:szCs w:val="24"/>
        </w:rPr>
        <w:t xml:space="preserve">. </w:t>
      </w:r>
    </w:p>
    <w:p w14:paraId="1767840F" w14:textId="77777777" w:rsidR="005D4C5B" w:rsidRDefault="005D4C5B" w:rsidP="005616EA">
      <w:pPr>
        <w:jc w:val="both"/>
        <w:rPr>
          <w:color w:val="000000"/>
          <w:szCs w:val="24"/>
          <w:shd w:val="clear" w:color="auto" w:fill="FFFFFF"/>
        </w:rPr>
      </w:pPr>
      <w:r w:rsidRPr="00D979A7">
        <w:rPr>
          <w:bCs/>
        </w:rPr>
        <w:tab/>
      </w: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941E80C" w14:textId="77777777" w:rsidR="000F3306" w:rsidRDefault="000F3306">
      <w:pPr>
        <w:ind w:firstLine="709"/>
        <w:jc w:val="both"/>
      </w:pPr>
    </w:p>
    <w:p w14:paraId="707001D4" w14:textId="77777777" w:rsidR="000F3306" w:rsidRDefault="000F3306">
      <w:pPr>
        <w:ind w:firstLine="709"/>
        <w:jc w:val="both"/>
      </w:pPr>
    </w:p>
    <w:p w14:paraId="14030A65" w14:textId="77777777" w:rsidR="0047766F" w:rsidRPr="00514174" w:rsidRDefault="000F3306" w:rsidP="0047766F">
      <w:pPr>
        <w:pStyle w:val="Antrats"/>
        <w:tabs>
          <w:tab w:val="clear" w:pos="4153"/>
          <w:tab w:val="clear" w:pos="8306"/>
        </w:tabs>
        <w:jc w:val="both"/>
      </w:pPr>
      <w:r>
        <w:t xml:space="preserve">Savivaldybės meras                                                                             </w:t>
      </w:r>
    </w:p>
    <w:p w14:paraId="53B27937" w14:textId="77777777" w:rsidR="0047766F" w:rsidRDefault="0047766F" w:rsidP="0047766F">
      <w:pPr>
        <w:pStyle w:val="Antrats"/>
        <w:tabs>
          <w:tab w:val="clear" w:pos="4153"/>
          <w:tab w:val="clear" w:pos="8306"/>
        </w:tabs>
        <w:jc w:val="both"/>
        <w:rPr>
          <w:sz w:val="22"/>
          <w:szCs w:val="22"/>
        </w:rPr>
      </w:pPr>
    </w:p>
    <w:p w14:paraId="00E1197D" w14:textId="77777777" w:rsidR="00C81075" w:rsidRDefault="00C81075" w:rsidP="0047766F">
      <w:pPr>
        <w:pStyle w:val="Antrats"/>
        <w:tabs>
          <w:tab w:val="clear" w:pos="4153"/>
          <w:tab w:val="clear" w:pos="8306"/>
        </w:tabs>
        <w:jc w:val="both"/>
        <w:rPr>
          <w:sz w:val="22"/>
          <w:szCs w:val="22"/>
        </w:rPr>
      </w:pPr>
    </w:p>
    <w:p w14:paraId="569B701B" w14:textId="77777777" w:rsidR="00C81075" w:rsidRDefault="00C81075" w:rsidP="0047766F">
      <w:pPr>
        <w:pStyle w:val="Antrats"/>
        <w:tabs>
          <w:tab w:val="clear" w:pos="4153"/>
          <w:tab w:val="clear" w:pos="8306"/>
        </w:tabs>
        <w:jc w:val="both"/>
        <w:rPr>
          <w:sz w:val="22"/>
          <w:szCs w:val="22"/>
        </w:rPr>
      </w:pPr>
    </w:p>
    <w:p w14:paraId="24288F48" w14:textId="77777777" w:rsidR="00C81075" w:rsidRDefault="00C81075" w:rsidP="0047766F">
      <w:pPr>
        <w:pStyle w:val="Antrats"/>
        <w:tabs>
          <w:tab w:val="clear" w:pos="4153"/>
          <w:tab w:val="clear" w:pos="8306"/>
        </w:tabs>
        <w:jc w:val="both"/>
        <w:rPr>
          <w:sz w:val="22"/>
          <w:szCs w:val="22"/>
        </w:rPr>
      </w:pPr>
    </w:p>
    <w:p w14:paraId="430D896F" w14:textId="77777777" w:rsidR="00C81075" w:rsidRDefault="00C81075" w:rsidP="0047766F">
      <w:pPr>
        <w:pStyle w:val="Antrats"/>
        <w:tabs>
          <w:tab w:val="clear" w:pos="4153"/>
          <w:tab w:val="clear" w:pos="8306"/>
        </w:tabs>
        <w:jc w:val="both"/>
        <w:rPr>
          <w:sz w:val="22"/>
          <w:szCs w:val="22"/>
        </w:rPr>
      </w:pPr>
    </w:p>
    <w:p w14:paraId="795E3DB7" w14:textId="77777777" w:rsidR="00C81075" w:rsidRDefault="00C81075" w:rsidP="0047766F">
      <w:pPr>
        <w:pStyle w:val="Antrats"/>
        <w:tabs>
          <w:tab w:val="clear" w:pos="4153"/>
          <w:tab w:val="clear" w:pos="8306"/>
        </w:tabs>
        <w:jc w:val="both"/>
        <w:rPr>
          <w:sz w:val="22"/>
          <w:szCs w:val="22"/>
        </w:rPr>
      </w:pPr>
    </w:p>
    <w:p w14:paraId="6DD4E817" w14:textId="77777777" w:rsidR="00C81075" w:rsidRDefault="00C81075" w:rsidP="0047766F">
      <w:pPr>
        <w:pStyle w:val="Antrats"/>
        <w:tabs>
          <w:tab w:val="clear" w:pos="4153"/>
          <w:tab w:val="clear" w:pos="8306"/>
        </w:tabs>
        <w:jc w:val="both"/>
        <w:rPr>
          <w:sz w:val="22"/>
          <w:szCs w:val="22"/>
        </w:rPr>
      </w:pPr>
    </w:p>
    <w:p w14:paraId="1BD8B504" w14:textId="77777777" w:rsidR="00C81075" w:rsidRDefault="00C81075" w:rsidP="0047766F">
      <w:pPr>
        <w:pStyle w:val="Antrats"/>
        <w:tabs>
          <w:tab w:val="clear" w:pos="4153"/>
          <w:tab w:val="clear" w:pos="8306"/>
        </w:tabs>
        <w:jc w:val="both"/>
        <w:rPr>
          <w:sz w:val="22"/>
          <w:szCs w:val="22"/>
        </w:rPr>
      </w:pPr>
    </w:p>
    <w:p w14:paraId="63A51B44" w14:textId="77777777" w:rsidR="00C81075" w:rsidRDefault="00C81075" w:rsidP="0047766F">
      <w:pPr>
        <w:pStyle w:val="Antrats"/>
        <w:tabs>
          <w:tab w:val="clear" w:pos="4153"/>
          <w:tab w:val="clear" w:pos="8306"/>
        </w:tabs>
        <w:jc w:val="both"/>
        <w:rPr>
          <w:sz w:val="22"/>
          <w:szCs w:val="22"/>
        </w:rPr>
      </w:pPr>
    </w:p>
    <w:p w14:paraId="29823558" w14:textId="77777777" w:rsidR="00C81075" w:rsidRDefault="00C81075" w:rsidP="0047766F">
      <w:pPr>
        <w:pStyle w:val="Antrats"/>
        <w:tabs>
          <w:tab w:val="clear" w:pos="4153"/>
          <w:tab w:val="clear" w:pos="8306"/>
        </w:tabs>
        <w:jc w:val="both"/>
        <w:rPr>
          <w:sz w:val="22"/>
          <w:szCs w:val="22"/>
        </w:rPr>
      </w:pPr>
    </w:p>
    <w:p w14:paraId="03452FB0" w14:textId="77777777" w:rsidR="00C81075" w:rsidRDefault="00C81075" w:rsidP="0047766F">
      <w:pPr>
        <w:pStyle w:val="Antrats"/>
        <w:tabs>
          <w:tab w:val="clear" w:pos="4153"/>
          <w:tab w:val="clear" w:pos="8306"/>
        </w:tabs>
        <w:jc w:val="both"/>
        <w:rPr>
          <w:sz w:val="22"/>
          <w:szCs w:val="22"/>
        </w:rPr>
      </w:pPr>
    </w:p>
    <w:p w14:paraId="104327B1" w14:textId="77777777" w:rsidR="0047766F" w:rsidRDefault="005616EA" w:rsidP="0047766F">
      <w:pPr>
        <w:pStyle w:val="Antrats"/>
        <w:tabs>
          <w:tab w:val="clear" w:pos="4153"/>
          <w:tab w:val="clear" w:pos="8306"/>
        </w:tabs>
        <w:jc w:val="both"/>
        <w:rPr>
          <w:sz w:val="22"/>
          <w:szCs w:val="22"/>
        </w:rPr>
      </w:pPr>
      <w:r>
        <w:rPr>
          <w:sz w:val="22"/>
          <w:szCs w:val="22"/>
        </w:rPr>
        <w:t>P</w:t>
      </w:r>
      <w:r w:rsidR="0047766F">
        <w:rPr>
          <w:sz w:val="22"/>
          <w:szCs w:val="22"/>
        </w:rPr>
        <w:t>arengė</w:t>
      </w:r>
    </w:p>
    <w:p w14:paraId="7B565FFB" w14:textId="77777777" w:rsidR="0047766F" w:rsidRDefault="0047766F" w:rsidP="0047766F">
      <w:pPr>
        <w:pStyle w:val="Antrats"/>
        <w:tabs>
          <w:tab w:val="clear" w:pos="4153"/>
          <w:tab w:val="clear" w:pos="8306"/>
        </w:tabs>
        <w:jc w:val="both"/>
        <w:rPr>
          <w:sz w:val="22"/>
          <w:szCs w:val="22"/>
        </w:rPr>
      </w:pPr>
      <w:r>
        <w:rPr>
          <w:sz w:val="22"/>
          <w:szCs w:val="22"/>
        </w:rPr>
        <w:t>vyriausioji specialistė</w:t>
      </w:r>
      <w:r w:rsidR="005616EA" w:rsidRPr="005616EA">
        <w:rPr>
          <w:sz w:val="22"/>
          <w:szCs w:val="22"/>
        </w:rPr>
        <w:t xml:space="preserve"> </w:t>
      </w:r>
      <w:r w:rsidR="005616EA">
        <w:rPr>
          <w:sz w:val="22"/>
          <w:szCs w:val="22"/>
        </w:rPr>
        <w:t>Virginija Bajoriūnaitė</w:t>
      </w:r>
    </w:p>
    <w:p w14:paraId="3BAD173F" w14:textId="698B30BA" w:rsidR="0047766F" w:rsidRDefault="0047766F" w:rsidP="0047766F">
      <w:pPr>
        <w:pStyle w:val="Antrats"/>
        <w:tabs>
          <w:tab w:val="clear" w:pos="4153"/>
          <w:tab w:val="clear" w:pos="8306"/>
        </w:tabs>
        <w:jc w:val="both"/>
        <w:rPr>
          <w:sz w:val="22"/>
          <w:szCs w:val="22"/>
        </w:rPr>
      </w:pPr>
      <w:r>
        <w:rPr>
          <w:sz w:val="22"/>
          <w:szCs w:val="22"/>
        </w:rPr>
        <w:t>20</w:t>
      </w:r>
      <w:r w:rsidR="00EE46D8">
        <w:rPr>
          <w:sz w:val="22"/>
          <w:szCs w:val="22"/>
        </w:rPr>
        <w:t>2</w:t>
      </w:r>
      <w:r w:rsidR="00CF3BFD">
        <w:rPr>
          <w:sz w:val="22"/>
          <w:szCs w:val="22"/>
        </w:rPr>
        <w:t>2</w:t>
      </w:r>
      <w:r>
        <w:rPr>
          <w:sz w:val="22"/>
          <w:szCs w:val="22"/>
        </w:rPr>
        <w:t>-</w:t>
      </w:r>
      <w:r w:rsidR="00EE46D8">
        <w:rPr>
          <w:sz w:val="22"/>
          <w:szCs w:val="22"/>
        </w:rPr>
        <w:t>0</w:t>
      </w:r>
      <w:r w:rsidR="00CB3618">
        <w:rPr>
          <w:sz w:val="22"/>
          <w:szCs w:val="22"/>
        </w:rPr>
        <w:t>2-0</w:t>
      </w:r>
      <w:r w:rsidR="00EE15AE">
        <w:rPr>
          <w:sz w:val="22"/>
          <w:szCs w:val="22"/>
        </w:rPr>
        <w:t>2</w:t>
      </w:r>
    </w:p>
    <w:p w14:paraId="7A61977C" w14:textId="77777777" w:rsidR="0047766F" w:rsidRDefault="0047766F" w:rsidP="0047766F">
      <w:pPr>
        <w:pStyle w:val="Antrats"/>
        <w:tabs>
          <w:tab w:val="clear" w:pos="4153"/>
          <w:tab w:val="clear" w:pos="8306"/>
        </w:tabs>
        <w:jc w:val="both"/>
      </w:pPr>
      <w:r>
        <w:rPr>
          <w:sz w:val="22"/>
          <w:szCs w:val="22"/>
        </w:rPr>
        <w:t>Suderinta DVS Nr. RTS-</w:t>
      </w:r>
      <w:r w:rsidR="00812C0F">
        <w:rPr>
          <w:sz w:val="22"/>
          <w:szCs w:val="22"/>
        </w:rPr>
        <w:t>39</w:t>
      </w:r>
    </w:p>
    <w:p w14:paraId="0CFD7AD1" w14:textId="77777777" w:rsidR="00CB3618" w:rsidRDefault="00CB3618">
      <w:r>
        <w:br w:type="page"/>
      </w:r>
    </w:p>
    <w:p w14:paraId="735D66AF" w14:textId="77777777" w:rsidR="0047766F" w:rsidRDefault="0047766F" w:rsidP="0047766F">
      <w:r>
        <w:lastRenderedPageBreak/>
        <w:t>Pasvalio rajono savivaldybės tarybai</w:t>
      </w:r>
    </w:p>
    <w:p w14:paraId="613941B5" w14:textId="77777777" w:rsidR="0047766F" w:rsidRDefault="0047766F" w:rsidP="0047766F"/>
    <w:p w14:paraId="6C9A9996" w14:textId="77777777" w:rsidR="00670D7B" w:rsidRDefault="00670D7B" w:rsidP="0047766F"/>
    <w:p w14:paraId="020311B9" w14:textId="77777777" w:rsidR="0047766F" w:rsidRDefault="0047766F" w:rsidP="0047766F">
      <w:pPr>
        <w:jc w:val="center"/>
        <w:rPr>
          <w:b/>
        </w:rPr>
      </w:pPr>
      <w:r>
        <w:rPr>
          <w:b/>
        </w:rPr>
        <w:t>AIŠKINAMASIS RAŠTAS</w:t>
      </w:r>
    </w:p>
    <w:p w14:paraId="4ACB8DFE" w14:textId="4520D7EF" w:rsidR="00CB3618" w:rsidRPr="003B5018" w:rsidRDefault="00EE46D8" w:rsidP="00CB3618">
      <w:pPr>
        <w:jc w:val="center"/>
        <w:rPr>
          <w:b/>
          <w:caps/>
        </w:rPr>
      </w:pPr>
      <w:r w:rsidRPr="003B5018">
        <w:rPr>
          <w:b/>
          <w:caps/>
        </w:rPr>
        <w:t>Dėl</w:t>
      </w:r>
      <w:r>
        <w:rPr>
          <w:b/>
          <w:caps/>
        </w:rPr>
        <w:t xml:space="preserve"> </w:t>
      </w:r>
      <w:r w:rsidR="00C75221">
        <w:rPr>
          <w:b/>
          <w:caps/>
        </w:rPr>
        <w:t>SUTIKIMO DALYVAUTI</w:t>
      </w:r>
      <w:r w:rsidR="00CB3618">
        <w:rPr>
          <w:b/>
          <w:caps/>
        </w:rPr>
        <w:t xml:space="preserve"> </w:t>
      </w:r>
      <w:r w:rsidR="00C75221">
        <w:rPr>
          <w:b/>
          <w:caps/>
        </w:rPr>
        <w:t xml:space="preserve">PARTNERIO TEISĖMIS </w:t>
      </w:r>
      <w:r w:rsidR="00CB3618">
        <w:rPr>
          <w:b/>
          <w:caps/>
        </w:rPr>
        <w:t>,,TŪKSTANTMEČIO MOKYKLŲ“ PROGRAMOJE</w:t>
      </w:r>
      <w:r w:rsidR="00D778F0">
        <w:rPr>
          <w:b/>
          <w:caps/>
        </w:rPr>
        <w:t xml:space="preserve"> </w:t>
      </w:r>
    </w:p>
    <w:p w14:paraId="7E13346B" w14:textId="77777777" w:rsidR="00CB3618" w:rsidRDefault="00CB3618" w:rsidP="0047766F">
      <w:pPr>
        <w:jc w:val="center"/>
      </w:pPr>
    </w:p>
    <w:p w14:paraId="41CEFA56" w14:textId="7635E5E1" w:rsidR="0047766F" w:rsidRPr="00E327E0" w:rsidRDefault="0047766F" w:rsidP="0047766F">
      <w:pPr>
        <w:jc w:val="center"/>
      </w:pPr>
      <w:r w:rsidRPr="00E327E0">
        <w:t>20</w:t>
      </w:r>
      <w:r w:rsidR="00EE46D8">
        <w:t>2</w:t>
      </w:r>
      <w:r w:rsidR="00CB3618">
        <w:t>2</w:t>
      </w:r>
      <w:r w:rsidRPr="00E327E0">
        <w:t>-</w:t>
      </w:r>
      <w:r w:rsidR="00EE46D8">
        <w:t>0</w:t>
      </w:r>
      <w:r w:rsidR="00CB3618">
        <w:t>2</w:t>
      </w:r>
      <w:r w:rsidR="003866E4">
        <w:t>-</w:t>
      </w:r>
      <w:r w:rsidR="00026711">
        <w:t>0</w:t>
      </w:r>
      <w:r w:rsidR="00EE15AE">
        <w:t>2</w:t>
      </w:r>
    </w:p>
    <w:p w14:paraId="3C668CAF" w14:textId="77777777" w:rsidR="0047766F" w:rsidRDefault="0047766F" w:rsidP="00060F44">
      <w:pPr>
        <w:jc w:val="center"/>
      </w:pPr>
      <w:r>
        <w:t>Pasvalys</w:t>
      </w:r>
    </w:p>
    <w:p w14:paraId="452FEE70" w14:textId="77777777" w:rsidR="00CB3618" w:rsidRDefault="00CB3618" w:rsidP="00CB3618">
      <w:pPr>
        <w:pStyle w:val="Antrats"/>
        <w:numPr>
          <w:ilvl w:val="0"/>
          <w:numId w:val="7"/>
        </w:numPr>
        <w:spacing w:line="276" w:lineRule="auto"/>
        <w:rPr>
          <w:b/>
        </w:rPr>
      </w:pPr>
      <w:r>
        <w:rPr>
          <w:b/>
        </w:rPr>
        <w:t>Sprendimo projekto rengimo pagrindas.</w:t>
      </w:r>
    </w:p>
    <w:p w14:paraId="5ADB28DC" w14:textId="709E4649" w:rsidR="00204156" w:rsidRDefault="00F62118" w:rsidP="00432924">
      <w:pPr>
        <w:pStyle w:val="Antrats"/>
        <w:tabs>
          <w:tab w:val="clear" w:pos="4153"/>
          <w:tab w:val="clear" w:pos="8306"/>
        </w:tabs>
        <w:spacing w:line="276" w:lineRule="auto"/>
        <w:jc w:val="both"/>
        <w:rPr>
          <w:szCs w:val="24"/>
        </w:rPr>
      </w:pPr>
      <w:r>
        <w:rPr>
          <w:szCs w:val="24"/>
        </w:rPr>
        <w:tab/>
      </w:r>
      <w:r w:rsidR="00CB3618">
        <w:rPr>
          <w:szCs w:val="24"/>
        </w:rPr>
        <w:t>Lietuvos Respublikos švietimo, mokslo ir sporto ministro 2022 m. sausio</w:t>
      </w:r>
      <w:r w:rsidR="00432924">
        <w:rPr>
          <w:szCs w:val="24"/>
        </w:rPr>
        <w:t xml:space="preserve"> 31</w:t>
      </w:r>
      <w:r w:rsidR="00CB3618">
        <w:rPr>
          <w:szCs w:val="24"/>
        </w:rPr>
        <w:t xml:space="preserve"> d. įsakymu Nr. V-</w:t>
      </w:r>
      <w:r w:rsidR="00432924">
        <w:rPr>
          <w:szCs w:val="24"/>
        </w:rPr>
        <w:t>137</w:t>
      </w:r>
      <w:r w:rsidR="00CB3618">
        <w:rPr>
          <w:szCs w:val="24"/>
        </w:rPr>
        <w:t xml:space="preserve"> ,,Dėl </w:t>
      </w:r>
      <w:r w:rsidR="00432924">
        <w:rPr>
          <w:szCs w:val="24"/>
        </w:rPr>
        <w:t>,,Tūkstantmečio mokyklų“ programos patvirtinimo“</w:t>
      </w:r>
      <w:r w:rsidR="00CB3618">
        <w:rPr>
          <w:szCs w:val="24"/>
        </w:rPr>
        <w:t xml:space="preserve"> patvirtinta ,,Tūkstantmečio mokyklų“ programa</w:t>
      </w:r>
      <w:r w:rsidR="00E267EC">
        <w:rPr>
          <w:szCs w:val="24"/>
        </w:rPr>
        <w:t xml:space="preserve"> (toliau – Programa)</w:t>
      </w:r>
      <w:r w:rsidR="00CB3618">
        <w:rPr>
          <w:szCs w:val="24"/>
        </w:rPr>
        <w:t xml:space="preserve"> ir </w:t>
      </w:r>
      <w:r w:rsidR="00204156">
        <w:rPr>
          <w:szCs w:val="24"/>
        </w:rPr>
        <w:t xml:space="preserve">VšĮ Europos socialinio fondo agentūros (toliau – ESFA) </w:t>
      </w:r>
      <w:r w:rsidR="00CB3618">
        <w:rPr>
          <w:szCs w:val="24"/>
        </w:rPr>
        <w:t>kvietimas teikti paraiškas</w:t>
      </w:r>
      <w:r w:rsidR="00204156">
        <w:rPr>
          <w:szCs w:val="24"/>
        </w:rPr>
        <w:t xml:space="preserve"> </w:t>
      </w:r>
    </w:p>
    <w:p w14:paraId="24BB6886" w14:textId="77777777" w:rsidR="00CB3618" w:rsidRPr="00204156" w:rsidRDefault="00082DFC" w:rsidP="00432924">
      <w:pPr>
        <w:pStyle w:val="Antrats"/>
        <w:tabs>
          <w:tab w:val="clear" w:pos="4153"/>
          <w:tab w:val="clear" w:pos="8306"/>
        </w:tabs>
        <w:spacing w:line="276" w:lineRule="auto"/>
        <w:jc w:val="both"/>
        <w:rPr>
          <w:szCs w:val="24"/>
        </w:rPr>
      </w:pPr>
      <w:hyperlink r:id="rId7" w:history="1">
        <w:r w:rsidR="00204156" w:rsidRPr="00F51D93">
          <w:rPr>
            <w:rStyle w:val="Hipersaitas"/>
            <w:szCs w:val="24"/>
          </w:rPr>
          <w:t>https://www.esf.lt/lt/susisiekite-su-mumis/noriu-teikti-paraiska/tukstantmecio-mokyklu-programa/846</w:t>
        </w:r>
      </w:hyperlink>
    </w:p>
    <w:p w14:paraId="44A5A609" w14:textId="77777777" w:rsidR="00CB3618" w:rsidRDefault="00CB3618" w:rsidP="00CB3618">
      <w:pPr>
        <w:spacing w:line="276" w:lineRule="auto"/>
        <w:ind w:firstLine="720"/>
        <w:rPr>
          <w:b/>
          <w:szCs w:val="24"/>
        </w:rPr>
      </w:pPr>
      <w:r>
        <w:rPr>
          <w:b/>
          <w:szCs w:val="24"/>
        </w:rPr>
        <w:t>2. S</w:t>
      </w:r>
      <w:r>
        <w:rPr>
          <w:b/>
          <w:color w:val="000000"/>
          <w:szCs w:val="24"/>
        </w:rPr>
        <w:t>prendimo projekto tikslai ir uždaviniai</w:t>
      </w:r>
      <w:r>
        <w:rPr>
          <w:b/>
          <w:szCs w:val="24"/>
        </w:rPr>
        <w:t>.</w:t>
      </w:r>
    </w:p>
    <w:p w14:paraId="2DB67C78" w14:textId="6A479757" w:rsidR="00D778F0" w:rsidRDefault="004F5F18" w:rsidP="00D778F0">
      <w:pPr>
        <w:spacing w:line="276" w:lineRule="auto"/>
        <w:ind w:firstLine="720"/>
        <w:jc w:val="both"/>
        <w:rPr>
          <w:bCs/>
          <w:szCs w:val="24"/>
        </w:rPr>
      </w:pPr>
      <w:r>
        <w:rPr>
          <w:bCs/>
          <w:szCs w:val="24"/>
        </w:rPr>
        <w:t>Sutikti dalyvauti ,,Tūkstantmečio mokyklų“ programoje</w:t>
      </w:r>
      <w:r w:rsidR="00373B46">
        <w:rPr>
          <w:bCs/>
          <w:szCs w:val="24"/>
        </w:rPr>
        <w:t xml:space="preserve"> partnerio teisėmis</w:t>
      </w:r>
      <w:r w:rsidR="00D778F0">
        <w:rPr>
          <w:bCs/>
          <w:szCs w:val="24"/>
        </w:rPr>
        <w:t>.</w:t>
      </w:r>
      <w:r>
        <w:rPr>
          <w:bCs/>
          <w:szCs w:val="24"/>
        </w:rPr>
        <w:t xml:space="preserve"> </w:t>
      </w:r>
    </w:p>
    <w:p w14:paraId="15690C5B" w14:textId="6B36ED6D" w:rsidR="00CB3618" w:rsidRPr="000F2EAC" w:rsidRDefault="00D778F0" w:rsidP="00D778F0">
      <w:pPr>
        <w:spacing w:line="276" w:lineRule="auto"/>
        <w:ind w:firstLine="720"/>
        <w:jc w:val="both"/>
        <w:rPr>
          <w:b/>
          <w:bCs/>
          <w:szCs w:val="24"/>
        </w:rPr>
      </w:pPr>
      <w:r w:rsidRPr="00D778F0">
        <w:rPr>
          <w:b/>
          <w:szCs w:val="24"/>
        </w:rPr>
        <w:t>3.</w:t>
      </w:r>
      <w:r>
        <w:rPr>
          <w:bCs/>
          <w:szCs w:val="24"/>
        </w:rPr>
        <w:t xml:space="preserve"> </w:t>
      </w:r>
      <w:r w:rsidR="00CB3618" w:rsidRPr="000F2EAC">
        <w:rPr>
          <w:b/>
          <w:bCs/>
          <w:szCs w:val="24"/>
        </w:rPr>
        <w:t xml:space="preserve">Kokios siūlomos naujos teisinio reguliavimo nuostatos ir kokių rezultatų laukiama. </w:t>
      </w:r>
    </w:p>
    <w:p w14:paraId="7A0BC796" w14:textId="77777777" w:rsidR="00F62118" w:rsidRDefault="00F62118" w:rsidP="00373B46">
      <w:pPr>
        <w:spacing w:line="276" w:lineRule="auto"/>
        <w:jc w:val="both"/>
        <w:rPr>
          <w:szCs w:val="24"/>
        </w:rPr>
      </w:pPr>
      <w:r>
        <w:rPr>
          <w:szCs w:val="24"/>
        </w:rPr>
        <w:tab/>
      </w:r>
      <w:r w:rsidR="00E267EC">
        <w:rPr>
          <w:rFonts w:eastAsia="Calibri"/>
          <w:szCs w:val="24"/>
        </w:rPr>
        <w:t>,,Tūkstantmečio mokyklų“ p</w:t>
      </w:r>
      <w:r w:rsidRPr="00F62118">
        <w:rPr>
          <w:szCs w:val="24"/>
        </w:rPr>
        <w:t>rogramos siekiamas rezultatas – kiekvienam besimokančiajam sukurtos lygiavertės ir šiuolaikiškos kokybiško ugdymo(</w:t>
      </w:r>
      <w:proofErr w:type="spellStart"/>
      <w:r w:rsidRPr="00F62118">
        <w:rPr>
          <w:szCs w:val="24"/>
        </w:rPr>
        <w:t>si</w:t>
      </w:r>
      <w:proofErr w:type="spellEnd"/>
      <w:r w:rsidRPr="00F62118">
        <w:rPr>
          <w:szCs w:val="24"/>
        </w:rPr>
        <w:t>) sąlygos, lemiančios geresnius mokinių pasiekimus ir mažesnius pasiekimų atotrūkius tarp mokyklų ir savivaldybių.</w:t>
      </w:r>
    </w:p>
    <w:p w14:paraId="30F4BF1A" w14:textId="77777777" w:rsidR="00F62118" w:rsidRPr="00F62118" w:rsidRDefault="00F62118" w:rsidP="00373B46">
      <w:pPr>
        <w:spacing w:line="276" w:lineRule="auto"/>
        <w:jc w:val="both"/>
        <w:rPr>
          <w:szCs w:val="24"/>
        </w:rPr>
      </w:pPr>
      <w:r>
        <w:rPr>
          <w:szCs w:val="24"/>
        </w:rPr>
        <w:tab/>
      </w:r>
      <w:r w:rsidRPr="00F62118">
        <w:rPr>
          <w:szCs w:val="24"/>
        </w:rPr>
        <w:t>Programos uždaviniai:</w:t>
      </w:r>
    </w:p>
    <w:p w14:paraId="38541ACB" w14:textId="77777777" w:rsidR="00F62118" w:rsidRDefault="00F62118" w:rsidP="00373B46">
      <w:pPr>
        <w:spacing w:line="276" w:lineRule="auto"/>
        <w:ind w:firstLine="720"/>
        <w:jc w:val="both"/>
        <w:rPr>
          <w:szCs w:val="24"/>
        </w:rPr>
      </w:pPr>
      <w:r>
        <w:rPr>
          <w:szCs w:val="24"/>
        </w:rPr>
        <w:t>-</w:t>
      </w:r>
      <w:r w:rsidRPr="00F62118">
        <w:rPr>
          <w:szCs w:val="24"/>
        </w:rPr>
        <w:t xml:space="preserve"> skatinti kiekvienoje savivaldybėje pokyčius, nukreiptus į veikiančių mokyklų stiprinimą ir mokinių pasiekimų gerinimą jose;</w:t>
      </w:r>
    </w:p>
    <w:p w14:paraId="0D94A921" w14:textId="77777777" w:rsidR="00F62118" w:rsidRPr="00F62118" w:rsidRDefault="00F62118" w:rsidP="00373B46">
      <w:pPr>
        <w:spacing w:line="276" w:lineRule="auto"/>
        <w:ind w:firstLine="720"/>
        <w:jc w:val="both"/>
        <w:rPr>
          <w:szCs w:val="24"/>
        </w:rPr>
      </w:pPr>
      <w:r>
        <w:rPr>
          <w:szCs w:val="24"/>
        </w:rPr>
        <w:t xml:space="preserve">- </w:t>
      </w:r>
      <w:r w:rsidRPr="00F62118">
        <w:rPr>
          <w:szCs w:val="24"/>
        </w:rPr>
        <w:t>diegti mokyklose socialines inovacijas, padedančias mokyklų bendruomenėms edukacinėmis priemonėmis įveikti arba sumažinti socialinių veiksnių (nepalanki mokinio socialinė, ekonominė ir kultūrinė aplinka, nepakankamas švietimo paslaugų prieinamumas ir pan.) įtaką mokinių, jų šeimų, vietos bendruomenės ir visuomenės socialinei raidai ir vystymuisi;</w:t>
      </w:r>
    </w:p>
    <w:p w14:paraId="1B290020" w14:textId="02FB3F42" w:rsidR="00F62118" w:rsidRDefault="00F62118" w:rsidP="00373B46">
      <w:pPr>
        <w:spacing w:line="276" w:lineRule="auto"/>
        <w:ind w:firstLine="720"/>
        <w:jc w:val="both"/>
        <w:rPr>
          <w:szCs w:val="24"/>
        </w:rPr>
      </w:pPr>
      <w:r>
        <w:rPr>
          <w:szCs w:val="24"/>
        </w:rPr>
        <w:t xml:space="preserve">- </w:t>
      </w:r>
      <w:r w:rsidRPr="00F62118">
        <w:rPr>
          <w:szCs w:val="24"/>
        </w:rPr>
        <w:t>įgalinti mokyklų pedagoginius darbuotojus kuo anksčiau atpažinti individualius ugdymo(</w:t>
      </w:r>
      <w:proofErr w:type="spellStart"/>
      <w:r w:rsidRPr="00F62118">
        <w:rPr>
          <w:szCs w:val="24"/>
        </w:rPr>
        <w:t>si</w:t>
      </w:r>
      <w:proofErr w:type="spellEnd"/>
      <w:r w:rsidRPr="00F62118">
        <w:rPr>
          <w:szCs w:val="24"/>
        </w:rPr>
        <w:t>) poreikius ir pagal kiekvieno galias ugdyti įvairių ugdymosi poreikių turinčius mokinius;</w:t>
      </w:r>
    </w:p>
    <w:p w14:paraId="0EF69AC1" w14:textId="77777777" w:rsidR="00F62118" w:rsidRPr="00F62118" w:rsidRDefault="00F62118" w:rsidP="00373B46">
      <w:pPr>
        <w:spacing w:line="276" w:lineRule="auto"/>
        <w:ind w:firstLine="720"/>
        <w:jc w:val="both"/>
        <w:rPr>
          <w:szCs w:val="24"/>
        </w:rPr>
      </w:pPr>
      <w:r>
        <w:rPr>
          <w:szCs w:val="24"/>
        </w:rPr>
        <w:t xml:space="preserve">- </w:t>
      </w:r>
      <w:r w:rsidRPr="00F62118">
        <w:rPr>
          <w:szCs w:val="24"/>
        </w:rPr>
        <w:t>diegti tinklaveika grįstą ugdymo organizavimą, atveriant galimybes materialiaisiais bei žmogiškaisiais ištekliais naudotis kitų mokyklų mokiniams ir mokytojams;</w:t>
      </w:r>
    </w:p>
    <w:p w14:paraId="259B8A66" w14:textId="77777777" w:rsidR="00F62118" w:rsidRDefault="00F62118" w:rsidP="00373B46">
      <w:pPr>
        <w:spacing w:line="276" w:lineRule="auto"/>
        <w:ind w:firstLine="720"/>
        <w:jc w:val="both"/>
        <w:rPr>
          <w:szCs w:val="24"/>
        </w:rPr>
      </w:pPr>
      <w:r>
        <w:rPr>
          <w:szCs w:val="24"/>
        </w:rPr>
        <w:t xml:space="preserve">- </w:t>
      </w:r>
      <w:r w:rsidRPr="00F62118">
        <w:rPr>
          <w:szCs w:val="24"/>
        </w:rPr>
        <w:t xml:space="preserve">modernizuoti mokyklų infrastruktūrą, siekiant </w:t>
      </w:r>
      <w:proofErr w:type="spellStart"/>
      <w:r w:rsidRPr="00F62118">
        <w:rPr>
          <w:szCs w:val="24"/>
        </w:rPr>
        <w:t>įveiklinti</w:t>
      </w:r>
      <w:proofErr w:type="spellEnd"/>
      <w:r w:rsidRPr="00F62118">
        <w:rPr>
          <w:szCs w:val="24"/>
        </w:rPr>
        <w:t xml:space="preserve"> turimą bei, esant poreikiui, sukurti naują.</w:t>
      </w:r>
    </w:p>
    <w:p w14:paraId="6FB7A1ED" w14:textId="3745BDB0" w:rsidR="00975A88" w:rsidRDefault="00E267EC" w:rsidP="00373B46">
      <w:pPr>
        <w:spacing w:line="276" w:lineRule="auto"/>
        <w:ind w:firstLine="720"/>
        <w:jc w:val="both"/>
        <w:rPr>
          <w:szCs w:val="24"/>
        </w:rPr>
      </w:pPr>
      <w:r>
        <w:rPr>
          <w:szCs w:val="24"/>
        </w:rPr>
        <w:t xml:space="preserve">Pagal nustatytus reikalavimus dalyvauti programoje </w:t>
      </w:r>
      <w:r w:rsidR="002720B4">
        <w:rPr>
          <w:szCs w:val="24"/>
        </w:rPr>
        <w:t xml:space="preserve">gali būti </w:t>
      </w:r>
      <w:r>
        <w:rPr>
          <w:szCs w:val="24"/>
        </w:rPr>
        <w:t xml:space="preserve">teikiamos mokyklos, kuriose </w:t>
      </w:r>
      <w:r w:rsidR="002720B4" w:rsidRPr="00882E0F">
        <w:rPr>
          <w:szCs w:val="24"/>
        </w:rPr>
        <w:t>pagal priešmokyklinio ir bendrojo ugdymo programas besimokančių mokinių skaičius, įskaitant visus jos skyrius, einamųjų mokslo metų rugsėjo 1 d. yra ne mažesnis kaip 200</w:t>
      </w:r>
      <w:r w:rsidR="002720B4">
        <w:rPr>
          <w:szCs w:val="24"/>
        </w:rPr>
        <w:t>.</w:t>
      </w:r>
      <w:r w:rsidR="002720B4" w:rsidRPr="00882E0F">
        <w:rPr>
          <w:szCs w:val="24"/>
        </w:rPr>
        <w:t xml:space="preserve"> </w:t>
      </w:r>
    </w:p>
    <w:p w14:paraId="098ACF4C" w14:textId="709A3DD8" w:rsidR="00D778F0" w:rsidRDefault="00D778F0" w:rsidP="00373B46">
      <w:pPr>
        <w:spacing w:line="276" w:lineRule="auto"/>
        <w:ind w:firstLine="720"/>
        <w:jc w:val="both"/>
        <w:rPr>
          <w:szCs w:val="24"/>
        </w:rPr>
      </w:pPr>
      <w:r>
        <w:rPr>
          <w:szCs w:val="24"/>
        </w:rPr>
        <w:t xml:space="preserve">Programoje dalyvaujančių mokyklų veikla bus tobulinama lyderystės, įtraukiojo, kultūrinio ugdymo, </w:t>
      </w:r>
      <w:r w:rsidRPr="008F2EA3">
        <w:rPr>
          <w:szCs w:val="24"/>
          <w:shd w:val="clear" w:color="auto" w:fill="FFFFFF"/>
        </w:rPr>
        <w:t xml:space="preserve">gamtos mokslų, technologijų, inžinerijos, matematikos mokslų ir kūrybiškumo </w:t>
      </w:r>
      <w:r>
        <w:rPr>
          <w:szCs w:val="24"/>
          <w:shd w:val="clear" w:color="auto" w:fill="FFFFFF"/>
        </w:rPr>
        <w:t>(</w:t>
      </w:r>
      <w:r>
        <w:rPr>
          <w:szCs w:val="24"/>
        </w:rPr>
        <w:t>STEAM) srityse.</w:t>
      </w:r>
    </w:p>
    <w:p w14:paraId="68436C65" w14:textId="221A0B3C" w:rsidR="00D778F0" w:rsidRDefault="00D778F0" w:rsidP="00373B46">
      <w:pPr>
        <w:spacing w:line="276" w:lineRule="auto"/>
        <w:ind w:firstLine="720"/>
        <w:jc w:val="both"/>
        <w:rPr>
          <w:szCs w:val="24"/>
        </w:rPr>
      </w:pPr>
      <w:r>
        <w:rPr>
          <w:szCs w:val="24"/>
        </w:rPr>
        <w:t xml:space="preserve">Savivaldybė kartu su </w:t>
      </w:r>
      <w:r w:rsidR="00362189" w:rsidRPr="00882E0F">
        <w:rPr>
          <w:szCs w:val="24"/>
        </w:rPr>
        <w:t>Europos socialinio fondo agentūr</w:t>
      </w:r>
      <w:r w:rsidR="00362189">
        <w:rPr>
          <w:szCs w:val="24"/>
        </w:rPr>
        <w:t>os (</w:t>
      </w:r>
      <w:r>
        <w:rPr>
          <w:szCs w:val="24"/>
        </w:rPr>
        <w:t>ESFA</w:t>
      </w:r>
      <w:r w:rsidR="00362189">
        <w:rPr>
          <w:szCs w:val="24"/>
        </w:rPr>
        <w:t>)</w:t>
      </w:r>
      <w:r>
        <w:rPr>
          <w:szCs w:val="24"/>
        </w:rPr>
        <w:t xml:space="preserve"> paskirtais ekspertais turės parengti </w:t>
      </w:r>
      <w:r w:rsidR="00362189">
        <w:rPr>
          <w:szCs w:val="24"/>
        </w:rPr>
        <w:t>P</w:t>
      </w:r>
      <w:r>
        <w:rPr>
          <w:szCs w:val="24"/>
        </w:rPr>
        <w:t>ažangos planą</w:t>
      </w:r>
      <w:r w:rsidR="00362189">
        <w:rPr>
          <w:szCs w:val="24"/>
        </w:rPr>
        <w:t>, kuriame numatomos mokyklų veiklos tobulinimo priemonės, rezultatų rodikliai ir t.t.</w:t>
      </w:r>
    </w:p>
    <w:p w14:paraId="15F9288E" w14:textId="77777777" w:rsidR="00CB3618" w:rsidRPr="004C1024" w:rsidRDefault="00CB3618" w:rsidP="00CB3618">
      <w:pPr>
        <w:spacing w:line="276" w:lineRule="auto"/>
        <w:ind w:firstLine="720"/>
        <w:jc w:val="both"/>
      </w:pPr>
      <w:r w:rsidRPr="004C1024">
        <w:rPr>
          <w:b/>
        </w:rPr>
        <w:t>4. Skaičiavimai, išlaidų sąmatos, finansavimo šaltiniai</w:t>
      </w:r>
      <w:r w:rsidRPr="004C1024">
        <w:t xml:space="preserve">. </w:t>
      </w:r>
    </w:p>
    <w:p w14:paraId="12958ADB" w14:textId="77777777" w:rsidR="00975A88" w:rsidRDefault="002720B4" w:rsidP="00373B46">
      <w:pPr>
        <w:tabs>
          <w:tab w:val="left" w:pos="426"/>
        </w:tabs>
        <w:spacing w:line="276" w:lineRule="auto"/>
        <w:ind w:firstLine="850"/>
        <w:jc w:val="both"/>
        <w:rPr>
          <w:szCs w:val="24"/>
        </w:rPr>
      </w:pPr>
      <w:r w:rsidRPr="00882E0F">
        <w:rPr>
          <w:szCs w:val="24"/>
        </w:rPr>
        <w:t>Programą įgyvendina</w:t>
      </w:r>
      <w:r w:rsidR="00975A88">
        <w:rPr>
          <w:szCs w:val="24"/>
        </w:rPr>
        <w:t>:</w:t>
      </w:r>
    </w:p>
    <w:p w14:paraId="0DFCC10A" w14:textId="71A8DCC3" w:rsidR="00975A88" w:rsidRDefault="00975A88" w:rsidP="00373B46">
      <w:pPr>
        <w:spacing w:line="276" w:lineRule="auto"/>
        <w:ind w:firstLine="720"/>
        <w:jc w:val="both"/>
        <w:rPr>
          <w:szCs w:val="24"/>
        </w:rPr>
      </w:pPr>
      <w:r>
        <w:rPr>
          <w:szCs w:val="24"/>
        </w:rPr>
        <w:t xml:space="preserve">- </w:t>
      </w:r>
      <w:r w:rsidR="002720B4" w:rsidRPr="00882E0F">
        <w:rPr>
          <w:szCs w:val="24"/>
        </w:rPr>
        <w:t>VšĮ Europos socialinio fondo agentūra</w:t>
      </w:r>
      <w:r w:rsidR="00362189">
        <w:rPr>
          <w:szCs w:val="24"/>
        </w:rPr>
        <w:t xml:space="preserve"> (ESFA)</w:t>
      </w:r>
      <w:r w:rsidR="00F03DC5">
        <w:rPr>
          <w:szCs w:val="24"/>
        </w:rPr>
        <w:t>,</w:t>
      </w:r>
      <w:r w:rsidR="002720B4" w:rsidRPr="00882E0F">
        <w:rPr>
          <w:szCs w:val="24"/>
        </w:rPr>
        <w:t xml:space="preserve"> atsakinga už Programos įgyvendinimo koordinavimą ir stebėseną: Tūkstantmečio mokyklų akademijos, sudarytos iš švietimo ekspertų, suformavimą ir jos veiklos vystymą, už savivaldybių ekspertinį konsultavimą rengiantis įgyvendinti Programą bei Programos įgyvendinimo metu, Pažangos planų dermės su Programos uždaviniais ir siekiamais rezultatais užtikrinimą, jungtinių veiklos sutarčių sudarymą, centralizuotų pirkimų vykdymą, dvigubo finansavimo prevenciją, lėšų pervedimus bei atsiskaitymą už Programos vykdymą;</w:t>
      </w:r>
    </w:p>
    <w:p w14:paraId="34864911" w14:textId="77777777" w:rsidR="002720B4" w:rsidRDefault="00975A88" w:rsidP="00362189">
      <w:pPr>
        <w:spacing w:line="276" w:lineRule="auto"/>
        <w:ind w:firstLine="720"/>
        <w:jc w:val="both"/>
        <w:rPr>
          <w:szCs w:val="24"/>
        </w:rPr>
      </w:pPr>
      <w:r>
        <w:rPr>
          <w:szCs w:val="24"/>
        </w:rPr>
        <w:t xml:space="preserve">- </w:t>
      </w:r>
      <w:r w:rsidR="002720B4" w:rsidRPr="00882E0F">
        <w:rPr>
          <w:szCs w:val="24"/>
        </w:rPr>
        <w:t xml:space="preserve">savivaldybės, atsakingos už Pažangos planų parengimą, jų suderinimą su Tūkstantmečio mokyklų akademijos ekspertais, Programoje dalyvaujančių mokyklų atranką, investicijų paskirstymą ir periodišką atsiskaitymą </w:t>
      </w:r>
      <w:r>
        <w:rPr>
          <w:szCs w:val="24"/>
        </w:rPr>
        <w:t xml:space="preserve">ESFA </w:t>
      </w:r>
      <w:r w:rsidR="002720B4" w:rsidRPr="00882E0F">
        <w:rPr>
          <w:szCs w:val="24"/>
        </w:rPr>
        <w:t>už patirtas išlaidas bei pasiektus rezultatus</w:t>
      </w:r>
      <w:r>
        <w:rPr>
          <w:szCs w:val="24"/>
        </w:rPr>
        <w:t>.</w:t>
      </w:r>
    </w:p>
    <w:p w14:paraId="1EADE001" w14:textId="77777777" w:rsidR="002720B4" w:rsidRDefault="00975A88" w:rsidP="00362189">
      <w:pPr>
        <w:spacing w:line="276" w:lineRule="auto"/>
        <w:ind w:firstLine="720"/>
        <w:jc w:val="both"/>
        <w:rPr>
          <w:szCs w:val="24"/>
        </w:rPr>
      </w:pPr>
      <w:r>
        <w:rPr>
          <w:szCs w:val="24"/>
        </w:rPr>
        <w:t xml:space="preserve">- </w:t>
      </w:r>
      <w:r w:rsidRPr="00882E0F">
        <w:rPr>
          <w:szCs w:val="24"/>
        </w:rPr>
        <w:t>VšĮ Centrinė projektų valdymo agentūra</w:t>
      </w:r>
      <w:r w:rsidR="00F03DC5">
        <w:rPr>
          <w:szCs w:val="24"/>
        </w:rPr>
        <w:t>,</w:t>
      </w:r>
      <w:r w:rsidRPr="00882E0F">
        <w:rPr>
          <w:szCs w:val="24"/>
        </w:rPr>
        <w:t xml:space="preserve"> atsakinga už Programos administravimą.</w:t>
      </w:r>
    </w:p>
    <w:p w14:paraId="0F773D24" w14:textId="3251E23E" w:rsidR="00E850B3" w:rsidRPr="00362189" w:rsidRDefault="0080685A" w:rsidP="00362189">
      <w:pPr>
        <w:spacing w:line="276" w:lineRule="auto"/>
        <w:ind w:firstLine="709"/>
        <w:jc w:val="both"/>
        <w:rPr>
          <w:szCs w:val="24"/>
        </w:rPr>
      </w:pPr>
      <w:r w:rsidRPr="00362189">
        <w:rPr>
          <w:szCs w:val="24"/>
        </w:rPr>
        <w:t xml:space="preserve">Preliminari </w:t>
      </w:r>
      <w:r w:rsidR="00373B46">
        <w:rPr>
          <w:szCs w:val="24"/>
        </w:rPr>
        <w:t xml:space="preserve">galima </w:t>
      </w:r>
      <w:r w:rsidRPr="00362189">
        <w:rPr>
          <w:szCs w:val="24"/>
        </w:rPr>
        <w:t>d</w:t>
      </w:r>
      <w:r w:rsidR="00E850B3" w:rsidRPr="00362189">
        <w:rPr>
          <w:szCs w:val="24"/>
        </w:rPr>
        <w:t xml:space="preserve">idžiausia finansavimo suma savivaldybei, eurais (neįskaitant PVM) </w:t>
      </w:r>
      <w:r w:rsidR="00F03DC5" w:rsidRPr="00362189">
        <w:rPr>
          <w:szCs w:val="24"/>
        </w:rPr>
        <w:t>–</w:t>
      </w:r>
      <w:r w:rsidR="00E850B3" w:rsidRPr="00362189">
        <w:rPr>
          <w:szCs w:val="24"/>
        </w:rPr>
        <w:t xml:space="preserve"> 1 500 000,00.</w:t>
      </w:r>
    </w:p>
    <w:p w14:paraId="6953E71F" w14:textId="77777777" w:rsidR="00757020" w:rsidRPr="00362189" w:rsidRDefault="00757020" w:rsidP="00362189">
      <w:pPr>
        <w:spacing w:line="276" w:lineRule="auto"/>
        <w:ind w:firstLine="709"/>
        <w:jc w:val="both"/>
        <w:rPr>
          <w:szCs w:val="24"/>
        </w:rPr>
      </w:pPr>
      <w:r w:rsidRPr="00362189">
        <w:rPr>
          <w:szCs w:val="24"/>
        </w:rPr>
        <w:t>Pareiškėjas (ESFA) ir (arba) partneris (Savivaldybė) savo iniciatyva ir savo ir (arba) kitų šaltinių lėšomis gali prisidėti prie projekto įgyvendinimo. Projekto tinkamų finansuoti išlaidų dalis, kurios nepadengia projektui skiriamo finansavimo lėšos, turi būti finansuojama iš projekto vykdytojo ir (ar) partnerio (-</w:t>
      </w:r>
      <w:proofErr w:type="spellStart"/>
      <w:r w:rsidRPr="00362189">
        <w:rPr>
          <w:szCs w:val="24"/>
        </w:rPr>
        <w:t>ių</w:t>
      </w:r>
      <w:proofErr w:type="spellEnd"/>
      <w:r w:rsidRPr="00362189">
        <w:rPr>
          <w:szCs w:val="24"/>
        </w:rPr>
        <w:t>) lėšų.</w:t>
      </w:r>
    </w:p>
    <w:p w14:paraId="2C558ECC" w14:textId="0371AA9C" w:rsidR="00757020" w:rsidRDefault="00757020" w:rsidP="00362189">
      <w:pPr>
        <w:ind w:firstLine="709"/>
        <w:jc w:val="both"/>
        <w:rPr>
          <w:szCs w:val="24"/>
        </w:rPr>
      </w:pPr>
      <w:r w:rsidRPr="00362189">
        <w:rPr>
          <w:szCs w:val="24"/>
        </w:rPr>
        <w:t>Savivaldybės biudžeto lėšos gali būti reikalingos investiciniam projektui parengti (jei Pažangos plane suplanuotų investicijų į infrastruktūrą ar ilgalaikį turtą suma viršys 1 mln. Eur).</w:t>
      </w:r>
    </w:p>
    <w:p w14:paraId="44D72012" w14:textId="2F5F42A6" w:rsidR="00373B46" w:rsidRDefault="00373B46" w:rsidP="00373B46">
      <w:pPr>
        <w:spacing w:line="276" w:lineRule="auto"/>
        <w:ind w:firstLine="709"/>
        <w:jc w:val="both"/>
        <w:rPr>
          <w:szCs w:val="24"/>
        </w:rPr>
      </w:pPr>
      <w:r>
        <w:t>Pagal Programos 43.1 ir 43.2 punktus numatyta, kad įgyvendinimo metu savivaldybei:</w:t>
      </w:r>
    </w:p>
    <w:p w14:paraId="0BF61F7E" w14:textId="77777777" w:rsidR="00373B46" w:rsidRDefault="00373B46" w:rsidP="00373B46">
      <w:pPr>
        <w:tabs>
          <w:tab w:val="left" w:pos="426"/>
        </w:tabs>
        <w:spacing w:line="276" w:lineRule="auto"/>
        <w:ind w:firstLine="850"/>
        <w:jc w:val="both"/>
        <w:rPr>
          <w:szCs w:val="24"/>
        </w:rPr>
      </w:pPr>
      <w:r>
        <w:t>43.1. pakeitus sprendimus, lėmusius finansavimo skyrimą Programos lėšomis, finansavimas yra nutraukiamas, o pradėtų veiklų įgyvendinimas baigiamas savivaldybės lėšomis;</w:t>
      </w:r>
    </w:p>
    <w:p w14:paraId="7C22ED27" w14:textId="77777777" w:rsidR="00373B46" w:rsidRDefault="00373B46" w:rsidP="00373B46">
      <w:pPr>
        <w:tabs>
          <w:tab w:val="left" w:pos="426"/>
        </w:tabs>
        <w:spacing w:line="276" w:lineRule="auto"/>
        <w:ind w:firstLine="850"/>
        <w:jc w:val="both"/>
        <w:rPr>
          <w:szCs w:val="24"/>
        </w:rPr>
      </w:pPr>
      <w:r>
        <w:t>43.2. nepasiekus savivaldybei privalomų Programos ir (ar) savivaldybės pasirinktų pažangos pasirenkamųjų rodiklių reikšmių, numatytų Pažangos plane ir jungtinės veiklos sutartyje, galutinis savivaldybei skirtas finansavimas proporcingai nepasiektoms rodiklių reikšmėms gali būti mažinamas ne daugiau kaip 10 procentų.</w:t>
      </w:r>
    </w:p>
    <w:p w14:paraId="6C713916" w14:textId="77777777" w:rsidR="00CF3BFD" w:rsidRDefault="005D67AF" w:rsidP="00CB3618">
      <w:pPr>
        <w:spacing w:line="276" w:lineRule="auto"/>
        <w:ind w:firstLine="731"/>
        <w:jc w:val="both"/>
        <w:rPr>
          <w:szCs w:val="24"/>
        </w:rPr>
      </w:pPr>
      <w:r>
        <w:rPr>
          <w:szCs w:val="24"/>
        </w:rPr>
        <w:t xml:space="preserve">Programos įgyvendinimą reglamentuoja </w:t>
      </w:r>
      <w:r w:rsidRPr="00560E71">
        <w:rPr>
          <w:szCs w:val="24"/>
          <w:shd w:val="clear" w:color="auto" w:fill="FFFFFF"/>
        </w:rPr>
        <w:t xml:space="preserve">2021–2030 m. plėtros programos valdytojos Lietuvos Respublikos švietimo, mokslo ir sporto ministerijos Švietimo plėtros programos </w:t>
      </w:r>
      <w:r w:rsidRPr="00560E71">
        <w:rPr>
          <w:szCs w:val="24"/>
        </w:rPr>
        <w:t>pažangos priemonės Nr. 12-003-03-01-01 „Įgyvendinti „Tūkstantmečio mokyklų“ programą“ apraš</w:t>
      </w:r>
      <w:r>
        <w:rPr>
          <w:szCs w:val="24"/>
        </w:rPr>
        <w:t xml:space="preserve">as, patvirtintas Lietuvos Respublikos švietimo, mokslo ir sporto ministro 2022 m. sausio 31 d. įsakymu Nr. V-139 ,,Dėl </w:t>
      </w:r>
      <w:r w:rsidRPr="00560E71">
        <w:rPr>
          <w:szCs w:val="24"/>
          <w:shd w:val="clear" w:color="auto" w:fill="FFFFFF"/>
        </w:rPr>
        <w:t xml:space="preserve">2021–2030 m. plėtros programos valdytojos Lietuvos Respublikos švietimo, mokslo ir sporto ministerijos Švietimo plėtros programos </w:t>
      </w:r>
      <w:r w:rsidRPr="00560E71">
        <w:rPr>
          <w:szCs w:val="24"/>
        </w:rPr>
        <w:t>pažangos priemonės Nr. 12-003-03-01-01 „Įgyvendinti „Tūkstantmečio mokyklų“ programą“ apraš</w:t>
      </w:r>
      <w:r>
        <w:rPr>
          <w:szCs w:val="24"/>
        </w:rPr>
        <w:t>o patvirtinimo“.</w:t>
      </w:r>
    </w:p>
    <w:p w14:paraId="4EA7E4DF" w14:textId="77777777" w:rsidR="00CB3618" w:rsidRDefault="00CB3618" w:rsidP="00CB3618">
      <w:pPr>
        <w:spacing w:line="276" w:lineRule="auto"/>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A041DCC" w14:textId="77777777" w:rsidR="00CB3618" w:rsidRPr="00820EFB" w:rsidRDefault="00CB3618" w:rsidP="00CB3618">
      <w:pPr>
        <w:spacing w:line="276" w:lineRule="auto"/>
        <w:ind w:firstLine="731"/>
        <w:jc w:val="both"/>
        <w:rPr>
          <w:szCs w:val="24"/>
        </w:rPr>
      </w:pPr>
      <w:r>
        <w:rPr>
          <w:szCs w:val="24"/>
        </w:rPr>
        <w:t>Neigiamų pasekmių nenumatoma.</w:t>
      </w:r>
    </w:p>
    <w:p w14:paraId="2AF7EC55" w14:textId="77777777" w:rsidR="00CB3618" w:rsidRDefault="00CB3618" w:rsidP="00F95337">
      <w:pPr>
        <w:spacing w:line="276" w:lineRule="auto"/>
        <w:ind w:firstLine="731"/>
        <w:jc w:val="both"/>
        <w:rPr>
          <w:b/>
          <w:bCs/>
          <w:szCs w:val="24"/>
        </w:rPr>
      </w:pPr>
      <w:r>
        <w:rPr>
          <w:b/>
          <w:bCs/>
          <w:szCs w:val="24"/>
        </w:rPr>
        <w:t>6. Jeigu sprendimui įgyvendinti reikia įgyvendinamųjų teisės aktų, – kas ir kada juos turėtų priimti.</w:t>
      </w:r>
    </w:p>
    <w:p w14:paraId="04324ED3" w14:textId="1FA4A6ED" w:rsidR="00975A88" w:rsidRPr="00882E0F" w:rsidRDefault="00975A88" w:rsidP="00975A88">
      <w:pPr>
        <w:tabs>
          <w:tab w:val="left" w:pos="426"/>
        </w:tabs>
        <w:ind w:firstLine="850"/>
        <w:jc w:val="both"/>
        <w:rPr>
          <w:szCs w:val="24"/>
        </w:rPr>
      </w:pPr>
      <w:r w:rsidRPr="00882E0F">
        <w:rPr>
          <w:szCs w:val="24"/>
        </w:rPr>
        <w:t>Savivaldybės, ketinančios dalyvauti pirmajame Programos sraute, ne vėliau kaip per 8 savaites</w:t>
      </w:r>
      <w:r w:rsidR="00204156">
        <w:rPr>
          <w:szCs w:val="24"/>
        </w:rPr>
        <w:t xml:space="preserve"> (iki 2022 m. kovo 28 d.) </w:t>
      </w:r>
      <w:r w:rsidRPr="00882E0F">
        <w:rPr>
          <w:szCs w:val="24"/>
        </w:rPr>
        <w:t xml:space="preserve">nuo kvietimo paskelbimo dienos apie ketinimą dalyvauti Programoje turi informuoti </w:t>
      </w:r>
      <w:r>
        <w:rPr>
          <w:szCs w:val="24"/>
        </w:rPr>
        <w:t xml:space="preserve">ESFA </w:t>
      </w:r>
      <w:r w:rsidRPr="00882E0F">
        <w:rPr>
          <w:szCs w:val="24"/>
        </w:rPr>
        <w:t>elektroniniu paštu, paskelbtu kvietime, ir pateikti:</w:t>
      </w:r>
    </w:p>
    <w:p w14:paraId="1906B53E" w14:textId="77777777" w:rsidR="00975A88" w:rsidRPr="00882E0F" w:rsidRDefault="00975A88" w:rsidP="00975A88">
      <w:pPr>
        <w:tabs>
          <w:tab w:val="left" w:pos="426"/>
        </w:tabs>
        <w:ind w:firstLine="850"/>
        <w:jc w:val="both"/>
        <w:rPr>
          <w:szCs w:val="24"/>
        </w:rPr>
      </w:pPr>
      <w:r>
        <w:rPr>
          <w:szCs w:val="24"/>
        </w:rPr>
        <w:t>-</w:t>
      </w:r>
      <w:r w:rsidRPr="00882E0F">
        <w:rPr>
          <w:szCs w:val="24"/>
        </w:rPr>
        <w:t xml:space="preserve"> savivaldybės tarybos sprendimą dėl sutikimo dalyvauti Programoje (nuorodą į dokumentą, paskelbtą Teisės aktų registre); </w:t>
      </w:r>
    </w:p>
    <w:p w14:paraId="3163D508" w14:textId="77777777" w:rsidR="00975A88" w:rsidRPr="00882E0F" w:rsidRDefault="00975A88" w:rsidP="00975A88">
      <w:pPr>
        <w:tabs>
          <w:tab w:val="left" w:pos="426"/>
        </w:tabs>
        <w:ind w:firstLine="850"/>
        <w:jc w:val="both"/>
        <w:rPr>
          <w:szCs w:val="24"/>
        </w:rPr>
      </w:pPr>
      <w:r>
        <w:rPr>
          <w:szCs w:val="24"/>
        </w:rPr>
        <w:t xml:space="preserve">- </w:t>
      </w:r>
      <w:r w:rsidRPr="00882E0F">
        <w:rPr>
          <w:szCs w:val="24"/>
        </w:rPr>
        <w:t>paskutinių metų savivaldybės pažangos ataskaitą (nuorodą į ataskaitą Švietimo valdymo informacinėje sistemoje (ŠVIS)).</w:t>
      </w:r>
    </w:p>
    <w:p w14:paraId="5DF04EA6" w14:textId="77777777" w:rsidR="00CB3618" w:rsidRDefault="00CB3618" w:rsidP="00CB3618">
      <w:pPr>
        <w:spacing w:line="276" w:lineRule="auto"/>
        <w:ind w:firstLine="731"/>
        <w:rPr>
          <w:b/>
          <w:bCs/>
          <w:szCs w:val="24"/>
        </w:rPr>
      </w:pPr>
      <w:r>
        <w:rPr>
          <w:b/>
          <w:bCs/>
          <w:szCs w:val="24"/>
        </w:rPr>
        <w:t>7. Sprendimo projekto antikorupcinis vertinimas.</w:t>
      </w:r>
    </w:p>
    <w:p w14:paraId="67061FBA" w14:textId="77777777" w:rsidR="00CB3618" w:rsidRPr="00820EFB" w:rsidRDefault="00CB3618" w:rsidP="00CB3618">
      <w:pPr>
        <w:spacing w:line="276" w:lineRule="auto"/>
        <w:ind w:firstLine="731"/>
        <w:rPr>
          <w:szCs w:val="24"/>
        </w:rPr>
      </w:pPr>
      <w:r w:rsidRPr="00820EFB">
        <w:rPr>
          <w:szCs w:val="24"/>
        </w:rPr>
        <w:t>Neatliekamas.</w:t>
      </w:r>
    </w:p>
    <w:p w14:paraId="70FC1236" w14:textId="77777777" w:rsidR="00CB3618" w:rsidRDefault="00CB3618" w:rsidP="00CB3618">
      <w:pPr>
        <w:spacing w:line="276" w:lineRule="auto"/>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11539430" w14:textId="77777777" w:rsidR="00CB3618" w:rsidRPr="00113DEB" w:rsidRDefault="00CB3618" w:rsidP="00CB3618">
      <w:pPr>
        <w:spacing w:line="276" w:lineRule="auto"/>
        <w:ind w:firstLine="720"/>
        <w:jc w:val="both"/>
        <w:rPr>
          <w:bCs/>
          <w:szCs w:val="24"/>
        </w:rPr>
      </w:pPr>
      <w:r>
        <w:rPr>
          <w:bCs/>
          <w:szCs w:val="24"/>
        </w:rPr>
        <w:t>Švietimo ir sporto skyrius. Švietimo ir sporto skyriaus vedėjas dr. Gvidas Vilys</w:t>
      </w:r>
    </w:p>
    <w:p w14:paraId="4E689E93" w14:textId="0AA48906" w:rsidR="00CB3618" w:rsidRDefault="00C81075" w:rsidP="00CB3618">
      <w:pPr>
        <w:jc w:val="both"/>
        <w:rPr>
          <w:szCs w:val="24"/>
        </w:rPr>
      </w:pPr>
      <w:r>
        <w:rPr>
          <w:szCs w:val="24"/>
        </w:rPr>
        <w:tab/>
        <w:t>PRIDEDAMA</w:t>
      </w:r>
      <w:r w:rsidR="00F03DC5">
        <w:rPr>
          <w:szCs w:val="24"/>
        </w:rPr>
        <w:t>:</w:t>
      </w:r>
    </w:p>
    <w:p w14:paraId="1E983C87" w14:textId="77777777" w:rsidR="00C81075" w:rsidRDefault="00CF3BFD" w:rsidP="00C81075">
      <w:pPr>
        <w:ind w:firstLine="720"/>
        <w:jc w:val="both"/>
        <w:rPr>
          <w:szCs w:val="24"/>
        </w:rPr>
      </w:pPr>
      <w:r>
        <w:rPr>
          <w:szCs w:val="24"/>
        </w:rPr>
        <w:t xml:space="preserve">1. </w:t>
      </w:r>
      <w:r w:rsidR="00C81075">
        <w:rPr>
          <w:szCs w:val="24"/>
        </w:rPr>
        <w:t>,,Tūkstantmečio mokyklų“ programa</w:t>
      </w:r>
      <w:r>
        <w:rPr>
          <w:szCs w:val="24"/>
        </w:rPr>
        <w:t>.</w:t>
      </w:r>
    </w:p>
    <w:p w14:paraId="5156D9B0" w14:textId="77777777" w:rsidR="00CF3BFD" w:rsidRDefault="00CF3BFD" w:rsidP="00C81075">
      <w:pPr>
        <w:ind w:firstLine="720"/>
        <w:jc w:val="both"/>
        <w:rPr>
          <w:szCs w:val="24"/>
        </w:rPr>
      </w:pPr>
      <w:r>
        <w:rPr>
          <w:szCs w:val="24"/>
        </w:rPr>
        <w:t xml:space="preserve">2. </w:t>
      </w:r>
      <w:r w:rsidRPr="00560E71">
        <w:rPr>
          <w:szCs w:val="24"/>
          <w:shd w:val="clear" w:color="auto" w:fill="FFFFFF"/>
        </w:rPr>
        <w:t xml:space="preserve">2021–2030 m. plėtros programos valdytojos Lietuvos Respublikos švietimo, mokslo ir sporto ministerijos Švietimo plėtros programos </w:t>
      </w:r>
      <w:r w:rsidRPr="00560E71">
        <w:rPr>
          <w:szCs w:val="24"/>
        </w:rPr>
        <w:t>pažangos priemonės Nr. 12-003-03-01-01 „Įgyvendinti „Tūkstantmečio mokyklų“ programą“ apraš</w:t>
      </w:r>
      <w:r>
        <w:rPr>
          <w:szCs w:val="24"/>
        </w:rPr>
        <w:t>as.</w:t>
      </w:r>
    </w:p>
    <w:p w14:paraId="2F4842D1" w14:textId="77777777" w:rsidR="00CB3618" w:rsidRDefault="00CB3618" w:rsidP="00CB3618">
      <w:pPr>
        <w:jc w:val="both"/>
        <w:rPr>
          <w:szCs w:val="24"/>
        </w:rPr>
      </w:pPr>
    </w:p>
    <w:p w14:paraId="02381C8D" w14:textId="77777777" w:rsidR="00204156" w:rsidRDefault="00204156" w:rsidP="00CB3618">
      <w:pPr>
        <w:jc w:val="both"/>
        <w:rPr>
          <w:szCs w:val="24"/>
        </w:rPr>
      </w:pPr>
    </w:p>
    <w:p w14:paraId="3DAC11C8" w14:textId="77777777" w:rsidR="00204156" w:rsidRPr="00931E2E" w:rsidRDefault="00204156" w:rsidP="00CB3618">
      <w:pPr>
        <w:jc w:val="both"/>
        <w:rPr>
          <w:szCs w:val="24"/>
        </w:rPr>
      </w:pPr>
    </w:p>
    <w:p w14:paraId="0D330738" w14:textId="77777777" w:rsidR="00F775C7" w:rsidRPr="00E267EC" w:rsidRDefault="00CB3618" w:rsidP="00E267EC">
      <w:pPr>
        <w:jc w:val="both"/>
        <w:rPr>
          <w:szCs w:val="24"/>
        </w:rPr>
      </w:pPr>
      <w:r>
        <w:rPr>
          <w:szCs w:val="24"/>
        </w:rPr>
        <w:t xml:space="preserve">Švietimo ir sporto skyriaus </w:t>
      </w:r>
      <w:r w:rsidR="00557258">
        <w:rPr>
          <w:szCs w:val="24"/>
        </w:rPr>
        <w:t>vyriausioji specialistė</w:t>
      </w:r>
      <w:r w:rsidRPr="00931E2E">
        <w:rPr>
          <w:szCs w:val="24"/>
        </w:rPr>
        <w:tab/>
      </w:r>
      <w:r w:rsidRPr="00931E2E">
        <w:rPr>
          <w:szCs w:val="24"/>
        </w:rPr>
        <w:tab/>
      </w:r>
      <w:r>
        <w:rPr>
          <w:szCs w:val="24"/>
        </w:rPr>
        <w:tab/>
      </w:r>
      <w:r>
        <w:rPr>
          <w:szCs w:val="24"/>
        </w:rPr>
        <w:tab/>
      </w:r>
      <w:r w:rsidR="00557258">
        <w:rPr>
          <w:szCs w:val="24"/>
        </w:rPr>
        <w:t>Virginija Bajoriūnaitė</w:t>
      </w:r>
    </w:p>
    <w:sectPr w:rsidR="00F775C7" w:rsidRPr="00E267EC" w:rsidSect="0080685A">
      <w:headerReference w:type="first" r:id="rId8"/>
      <w:type w:val="continuous"/>
      <w:pgSz w:w="11906" w:h="16838" w:code="9"/>
      <w:pgMar w:top="1134" w:right="566" w:bottom="426" w:left="1418"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5AB4" w14:textId="77777777" w:rsidR="00E0268C" w:rsidRDefault="00E0268C">
      <w:r>
        <w:separator/>
      </w:r>
    </w:p>
  </w:endnote>
  <w:endnote w:type="continuationSeparator" w:id="0">
    <w:p w14:paraId="3EB9217A" w14:textId="77777777" w:rsidR="00E0268C" w:rsidRDefault="00E0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808D" w14:textId="77777777" w:rsidR="00E0268C" w:rsidRDefault="00E0268C">
      <w:r>
        <w:separator/>
      </w:r>
    </w:p>
  </w:footnote>
  <w:footnote w:type="continuationSeparator" w:id="0">
    <w:p w14:paraId="08CCE078" w14:textId="77777777" w:rsidR="00E0268C" w:rsidRDefault="00E0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8706" w14:textId="77777777" w:rsidR="007C7E38" w:rsidRDefault="007C7E38">
    <w:pPr>
      <w:pStyle w:val="Antrats"/>
      <w:jc w:val="center"/>
      <w:rPr>
        <w:b/>
        <w:bCs/>
        <w:caps/>
      </w:rPr>
    </w:pPr>
  </w:p>
  <w:p w14:paraId="01AAD789" w14:textId="77777777" w:rsidR="007C7E38" w:rsidRDefault="007C7E38">
    <w:pPr>
      <w:pStyle w:val="Antrats"/>
      <w:jc w:val="center"/>
      <w:rPr>
        <w:b/>
        <w:bCs/>
        <w:caps/>
        <w:sz w:val="10"/>
      </w:rPr>
    </w:pPr>
  </w:p>
  <w:p w14:paraId="121B5B0B" w14:textId="77777777" w:rsidR="007C7E38" w:rsidRDefault="007C7E38">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4EC8"/>
    <w:multiLevelType w:val="multilevel"/>
    <w:tmpl w:val="39D6234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2E8E325B"/>
    <w:multiLevelType w:val="hybridMultilevel"/>
    <w:tmpl w:val="5BC06D9E"/>
    <w:lvl w:ilvl="0" w:tplc="8DEC2694">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ABB6598"/>
    <w:multiLevelType w:val="hybridMultilevel"/>
    <w:tmpl w:val="F25A2124"/>
    <w:lvl w:ilvl="0" w:tplc="4C1ADD5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6"/>
  </w:num>
  <w:num w:numId="2">
    <w:abstractNumId w:val="2"/>
  </w:num>
  <w:num w:numId="3">
    <w:abstractNumId w:val="5"/>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26711"/>
    <w:rsid w:val="00040B00"/>
    <w:rsid w:val="00041FFE"/>
    <w:rsid w:val="000439A4"/>
    <w:rsid w:val="00050D31"/>
    <w:rsid w:val="00060F44"/>
    <w:rsid w:val="000710E1"/>
    <w:rsid w:val="0008144E"/>
    <w:rsid w:val="00082DFC"/>
    <w:rsid w:val="00093564"/>
    <w:rsid w:val="000B1268"/>
    <w:rsid w:val="000C0C51"/>
    <w:rsid w:val="000D2FDE"/>
    <w:rsid w:val="000E6685"/>
    <w:rsid w:val="000F3306"/>
    <w:rsid w:val="000F7EBC"/>
    <w:rsid w:val="001020E5"/>
    <w:rsid w:val="00117080"/>
    <w:rsid w:val="0012460C"/>
    <w:rsid w:val="00144013"/>
    <w:rsid w:val="0015191E"/>
    <w:rsid w:val="0017220A"/>
    <w:rsid w:val="001D2D11"/>
    <w:rsid w:val="001E6CB2"/>
    <w:rsid w:val="001F370C"/>
    <w:rsid w:val="00204156"/>
    <w:rsid w:val="002046D5"/>
    <w:rsid w:val="00211CEF"/>
    <w:rsid w:val="00240B2A"/>
    <w:rsid w:val="00243245"/>
    <w:rsid w:val="00250756"/>
    <w:rsid w:val="0026011A"/>
    <w:rsid w:val="002720B4"/>
    <w:rsid w:val="00277E72"/>
    <w:rsid w:val="00282005"/>
    <w:rsid w:val="00282D55"/>
    <w:rsid w:val="00286193"/>
    <w:rsid w:val="00293890"/>
    <w:rsid w:val="002A4AFD"/>
    <w:rsid w:val="002D588B"/>
    <w:rsid w:val="00304FC1"/>
    <w:rsid w:val="00316C01"/>
    <w:rsid w:val="00330B77"/>
    <w:rsid w:val="00342AB8"/>
    <w:rsid w:val="003605A1"/>
    <w:rsid w:val="00362189"/>
    <w:rsid w:val="00373B46"/>
    <w:rsid w:val="003866E4"/>
    <w:rsid w:val="00386AEC"/>
    <w:rsid w:val="003908DB"/>
    <w:rsid w:val="003A32C3"/>
    <w:rsid w:val="003A3D17"/>
    <w:rsid w:val="003A732E"/>
    <w:rsid w:val="003A753D"/>
    <w:rsid w:val="003B5018"/>
    <w:rsid w:val="003C5BB6"/>
    <w:rsid w:val="003F5D65"/>
    <w:rsid w:val="00414760"/>
    <w:rsid w:val="00417394"/>
    <w:rsid w:val="0042045C"/>
    <w:rsid w:val="0042392E"/>
    <w:rsid w:val="00432924"/>
    <w:rsid w:val="004435A6"/>
    <w:rsid w:val="0047766F"/>
    <w:rsid w:val="00486638"/>
    <w:rsid w:val="004B0F8D"/>
    <w:rsid w:val="004C05AA"/>
    <w:rsid w:val="004C0F96"/>
    <w:rsid w:val="004C3906"/>
    <w:rsid w:val="004C5C0E"/>
    <w:rsid w:val="004D780A"/>
    <w:rsid w:val="004E1F3E"/>
    <w:rsid w:val="004E5973"/>
    <w:rsid w:val="004F5F18"/>
    <w:rsid w:val="00504595"/>
    <w:rsid w:val="00514174"/>
    <w:rsid w:val="00537F3D"/>
    <w:rsid w:val="00557258"/>
    <w:rsid w:val="005616EA"/>
    <w:rsid w:val="00563B1D"/>
    <w:rsid w:val="005748D3"/>
    <w:rsid w:val="00593BA2"/>
    <w:rsid w:val="005A0C84"/>
    <w:rsid w:val="005A10D4"/>
    <w:rsid w:val="005B02E2"/>
    <w:rsid w:val="005D4C5B"/>
    <w:rsid w:val="005D67AF"/>
    <w:rsid w:val="006248FE"/>
    <w:rsid w:val="00631AF9"/>
    <w:rsid w:val="00663E87"/>
    <w:rsid w:val="00670D7B"/>
    <w:rsid w:val="006777F4"/>
    <w:rsid w:val="0069473A"/>
    <w:rsid w:val="006A0732"/>
    <w:rsid w:val="006B0460"/>
    <w:rsid w:val="006B5073"/>
    <w:rsid w:val="006E4F2E"/>
    <w:rsid w:val="006E712F"/>
    <w:rsid w:val="0070505B"/>
    <w:rsid w:val="0071174C"/>
    <w:rsid w:val="00733495"/>
    <w:rsid w:val="00757020"/>
    <w:rsid w:val="00775243"/>
    <w:rsid w:val="00775597"/>
    <w:rsid w:val="00780AAF"/>
    <w:rsid w:val="007842B4"/>
    <w:rsid w:val="007C7E38"/>
    <w:rsid w:val="007D0349"/>
    <w:rsid w:val="007F400D"/>
    <w:rsid w:val="0080685A"/>
    <w:rsid w:val="00811E4E"/>
    <w:rsid w:val="00812C0F"/>
    <w:rsid w:val="00823A8B"/>
    <w:rsid w:val="0083154B"/>
    <w:rsid w:val="008366D4"/>
    <w:rsid w:val="008659CA"/>
    <w:rsid w:val="00891FD4"/>
    <w:rsid w:val="008A41CA"/>
    <w:rsid w:val="008A522B"/>
    <w:rsid w:val="008D6784"/>
    <w:rsid w:val="008E233D"/>
    <w:rsid w:val="008E5A1F"/>
    <w:rsid w:val="00901C72"/>
    <w:rsid w:val="009214AD"/>
    <w:rsid w:val="00922851"/>
    <w:rsid w:val="009353E1"/>
    <w:rsid w:val="009373EF"/>
    <w:rsid w:val="009443D3"/>
    <w:rsid w:val="00961380"/>
    <w:rsid w:val="00962D2E"/>
    <w:rsid w:val="00975A88"/>
    <w:rsid w:val="00990DA2"/>
    <w:rsid w:val="00995D98"/>
    <w:rsid w:val="009C7CB1"/>
    <w:rsid w:val="009D24B7"/>
    <w:rsid w:val="009D652C"/>
    <w:rsid w:val="009F377D"/>
    <w:rsid w:val="00A01C28"/>
    <w:rsid w:val="00A14339"/>
    <w:rsid w:val="00A4221B"/>
    <w:rsid w:val="00A90FB0"/>
    <w:rsid w:val="00AB246A"/>
    <w:rsid w:val="00AB6E9E"/>
    <w:rsid w:val="00AC0FC6"/>
    <w:rsid w:val="00AD16FE"/>
    <w:rsid w:val="00AD2CEF"/>
    <w:rsid w:val="00AD4CAB"/>
    <w:rsid w:val="00AD5335"/>
    <w:rsid w:val="00AE497D"/>
    <w:rsid w:val="00AE60B6"/>
    <w:rsid w:val="00AE7837"/>
    <w:rsid w:val="00B15279"/>
    <w:rsid w:val="00B2380A"/>
    <w:rsid w:val="00B25262"/>
    <w:rsid w:val="00B649B8"/>
    <w:rsid w:val="00B97014"/>
    <w:rsid w:val="00BA65F8"/>
    <w:rsid w:val="00BC692F"/>
    <w:rsid w:val="00C11538"/>
    <w:rsid w:val="00C1215D"/>
    <w:rsid w:val="00C1277C"/>
    <w:rsid w:val="00C21D2A"/>
    <w:rsid w:val="00C322FE"/>
    <w:rsid w:val="00C371E5"/>
    <w:rsid w:val="00C516C7"/>
    <w:rsid w:val="00C530F9"/>
    <w:rsid w:val="00C57672"/>
    <w:rsid w:val="00C75221"/>
    <w:rsid w:val="00C81075"/>
    <w:rsid w:val="00CA3AB7"/>
    <w:rsid w:val="00CB0F41"/>
    <w:rsid w:val="00CB3618"/>
    <w:rsid w:val="00CE42FB"/>
    <w:rsid w:val="00CE7BC2"/>
    <w:rsid w:val="00CF3BFD"/>
    <w:rsid w:val="00CF5116"/>
    <w:rsid w:val="00CF62E1"/>
    <w:rsid w:val="00D173E6"/>
    <w:rsid w:val="00D564C6"/>
    <w:rsid w:val="00D634E7"/>
    <w:rsid w:val="00D67F79"/>
    <w:rsid w:val="00D778F0"/>
    <w:rsid w:val="00D82697"/>
    <w:rsid w:val="00DC04DD"/>
    <w:rsid w:val="00DE3179"/>
    <w:rsid w:val="00DE36D4"/>
    <w:rsid w:val="00DF5FEF"/>
    <w:rsid w:val="00E0268C"/>
    <w:rsid w:val="00E04E26"/>
    <w:rsid w:val="00E1049B"/>
    <w:rsid w:val="00E12F27"/>
    <w:rsid w:val="00E15CDE"/>
    <w:rsid w:val="00E267EC"/>
    <w:rsid w:val="00E45A60"/>
    <w:rsid w:val="00E55015"/>
    <w:rsid w:val="00E61D1C"/>
    <w:rsid w:val="00E7238D"/>
    <w:rsid w:val="00E739A8"/>
    <w:rsid w:val="00E83957"/>
    <w:rsid w:val="00E83C50"/>
    <w:rsid w:val="00E850B3"/>
    <w:rsid w:val="00ED35DF"/>
    <w:rsid w:val="00EE15AE"/>
    <w:rsid w:val="00EE46D8"/>
    <w:rsid w:val="00EF0C52"/>
    <w:rsid w:val="00EF4841"/>
    <w:rsid w:val="00F00EEA"/>
    <w:rsid w:val="00F03DC5"/>
    <w:rsid w:val="00F306ED"/>
    <w:rsid w:val="00F309F1"/>
    <w:rsid w:val="00F62118"/>
    <w:rsid w:val="00F6401F"/>
    <w:rsid w:val="00F71AF3"/>
    <w:rsid w:val="00F75310"/>
    <w:rsid w:val="00F775C7"/>
    <w:rsid w:val="00F95337"/>
    <w:rsid w:val="00F95BD1"/>
    <w:rsid w:val="00FA7AA6"/>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305FF"/>
  <w15:docId w15:val="{6FD3B6D3-E270-45B6-9259-BF641405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uiPriority w:val="99"/>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link w:val="PagrindinistekstasDiagrama"/>
    <w:uiPriority w:val="99"/>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uiPriority w:val="99"/>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qFormat/>
    <w:rsid w:val="0047766F"/>
    <w:pPr>
      <w:ind w:left="720"/>
      <w:contextualSpacing/>
    </w:pPr>
  </w:style>
  <w:style w:type="character" w:customStyle="1" w:styleId="PagrindinistekstasDiagrama">
    <w:name w:val="Pagrindinis tekstas Diagrama"/>
    <w:basedOn w:val="Numatytasispastraiposriftas"/>
    <w:link w:val="Pagrindinistekstas"/>
    <w:uiPriority w:val="99"/>
    <w:rsid w:val="00CB3618"/>
    <w:rPr>
      <w:sz w:val="24"/>
      <w:lang w:eastAsia="en-US"/>
    </w:rPr>
  </w:style>
  <w:style w:type="character" w:styleId="Hipersaitas">
    <w:name w:val="Hyperlink"/>
    <w:basedOn w:val="Numatytasispastraiposriftas"/>
    <w:unhideWhenUsed/>
    <w:rsid w:val="00204156"/>
    <w:rPr>
      <w:color w:val="0563C1" w:themeColor="hyperlink"/>
      <w:u w:val="single"/>
    </w:rPr>
  </w:style>
  <w:style w:type="character" w:customStyle="1" w:styleId="Neapdorotaspaminjimas1">
    <w:name w:val="Neapdorotas paminėjimas1"/>
    <w:basedOn w:val="Numatytasispastraiposriftas"/>
    <w:uiPriority w:val="99"/>
    <w:semiHidden/>
    <w:unhideWhenUsed/>
    <w:rsid w:val="00204156"/>
    <w:rPr>
      <w:color w:val="605E5C"/>
      <w:shd w:val="clear" w:color="auto" w:fill="E1DFDD"/>
    </w:rPr>
  </w:style>
  <w:style w:type="paragraph" w:styleId="Pataisymai">
    <w:name w:val="Revision"/>
    <w:hidden/>
    <w:uiPriority w:val="99"/>
    <w:semiHidden/>
    <w:rsid w:val="005748D3"/>
    <w:rPr>
      <w:sz w:val="24"/>
      <w:lang w:eastAsia="en-US"/>
    </w:rPr>
  </w:style>
  <w:style w:type="character" w:styleId="Grietas">
    <w:name w:val="Strong"/>
    <w:basedOn w:val="Numatytasispastraiposriftas"/>
    <w:rsid w:val="00757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f.lt/lt/susisiekite-su-mumis/noriu-teikti-paraiska/tukstantmecio-mokyklu-programa/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8187</Characters>
  <Application>Microsoft Office Word</Application>
  <DocSecurity>0</DocSecurity>
  <Lines>68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2018-11-30T08:04:00Z</cp:lastPrinted>
  <dcterms:created xsi:type="dcterms:W3CDTF">2022-02-09T11:08:00Z</dcterms:created>
  <dcterms:modified xsi:type="dcterms:W3CDTF">2022-02-09T11:08:00Z</dcterms:modified>
</cp:coreProperties>
</file>