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2673" w14:textId="2980B0D7" w:rsidR="00496533" w:rsidRDefault="00DB573D">
      <w:r>
        <w:rPr>
          <w:noProof/>
          <w:lang w:eastAsia="lt-LT"/>
        </w:rPr>
        <mc:AlternateContent>
          <mc:Choice Requires="wps">
            <w:drawing>
              <wp:anchor distT="0" distB="0" distL="114300" distR="114300" simplePos="0" relativeHeight="251658240" behindDoc="0" locked="0" layoutInCell="1" allowOverlap="1" wp14:anchorId="6A740EFA" wp14:editId="607AAC81">
                <wp:simplePos x="0" y="0"/>
                <wp:positionH relativeFrom="margin">
                  <wp:align>right</wp:align>
                </wp:positionH>
                <wp:positionV relativeFrom="paragraph">
                  <wp:posOffset>-217170</wp:posOffset>
                </wp:positionV>
                <wp:extent cx="2446020" cy="789709"/>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89709"/>
                        </a:xfrm>
                        <a:prstGeom prst="rect">
                          <a:avLst/>
                        </a:prstGeom>
                        <a:solidFill>
                          <a:srgbClr val="FFFFFF"/>
                        </a:solidFill>
                        <a:ln>
                          <a:noFill/>
                        </a:ln>
                      </wps:spPr>
                      <wps:txbx>
                        <w:txbxContent>
                          <w:p w14:paraId="13643776" w14:textId="4ABC6E2F" w:rsidR="00482003" w:rsidRPr="00482003" w:rsidRDefault="00482003">
                            <w:pPr>
                              <w:rPr>
                                <w:b/>
                                <w:bCs/>
                                <w:u w:val="single"/>
                              </w:rPr>
                            </w:pPr>
                            <w:r w:rsidRPr="00482003">
                              <w:rPr>
                                <w:b/>
                                <w:bCs/>
                                <w:u w:val="single"/>
                              </w:rPr>
                              <w:t>Pataisytas</w:t>
                            </w:r>
                          </w:p>
                          <w:p w14:paraId="29BBE4B8" w14:textId="4EA10C5D" w:rsidR="00E01CDC" w:rsidRDefault="00E01CDC">
                            <w:pPr>
                              <w:rPr>
                                <w:b/>
                              </w:rPr>
                            </w:pPr>
                            <w:r>
                              <w:rPr>
                                <w:b/>
                                <w:bCs/>
                              </w:rPr>
                              <w:t>projektas</w:t>
                            </w:r>
                          </w:p>
                          <w:p w14:paraId="28422EA0" w14:textId="396F850A" w:rsidR="00E01CDC" w:rsidRDefault="00E01CDC">
                            <w:pPr>
                              <w:rPr>
                                <w:b/>
                              </w:rPr>
                            </w:pPr>
                            <w:r>
                              <w:rPr>
                                <w:b/>
                                <w:bCs/>
                              </w:rPr>
                              <w:t>reg. Nr. T</w:t>
                            </w:r>
                            <w:r>
                              <w:rPr>
                                <w:b/>
                              </w:rPr>
                              <w:t>-</w:t>
                            </w:r>
                            <w:r w:rsidR="00482003">
                              <w:rPr>
                                <w:b/>
                              </w:rPr>
                              <w:t>107</w:t>
                            </w:r>
                          </w:p>
                          <w:p w14:paraId="0E038A6B" w14:textId="50119C2B" w:rsidR="00E01CDC" w:rsidRDefault="00E01CDC">
                            <w:pPr>
                              <w:rPr>
                                <w:b/>
                              </w:rPr>
                            </w:pPr>
                            <w:r>
                              <w:rPr>
                                <w:b/>
                              </w:rPr>
                              <w:t>2.</w:t>
                            </w:r>
                            <w:r w:rsidR="00482003">
                              <w:rPr>
                                <w:b/>
                              </w:rPr>
                              <w:t xml:space="preserve">10.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40EFA" id="_x0000_t202" coordsize="21600,21600" o:spt="202" path="m,l,21600r21600,l21600,xe">
                <v:stroke joinstyle="miter"/>
                <v:path gradientshapeok="t" o:connecttype="rect"/>
              </v:shapetype>
              <v:shape id="Teksto laukas 1" o:spid="_x0000_s1026" type="#_x0000_t202" style="position:absolute;margin-left:141.4pt;margin-top:-17.1pt;width:192.6pt;height:62.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" stroked="f">
                <v:textbox>
                  <w:txbxContent>
                    <w:p w14:paraId="13643776" w14:textId="4ABC6E2F" w:rsidR="00482003" w:rsidRPr="00482003" w:rsidRDefault="00482003">
                      <w:pPr>
                        <w:rPr>
                          <w:b/>
                          <w:bCs/>
                          <w:u w:val="single"/>
                        </w:rPr>
                      </w:pPr>
                      <w:r w:rsidRPr="00482003">
                        <w:rPr>
                          <w:b/>
                          <w:bCs/>
                          <w:u w:val="single"/>
                        </w:rPr>
                        <w:t>Pataisytas</w:t>
                      </w:r>
                    </w:p>
                    <w:p w14:paraId="29BBE4B8" w14:textId="4EA10C5D" w:rsidR="00E01CDC" w:rsidRDefault="00E01CDC">
                      <w:pPr>
                        <w:rPr>
                          <w:b/>
                        </w:rPr>
                      </w:pPr>
                      <w:r>
                        <w:rPr>
                          <w:b/>
                          <w:bCs/>
                        </w:rPr>
                        <w:t>projektas</w:t>
                      </w:r>
                    </w:p>
                    <w:p w14:paraId="28422EA0" w14:textId="396F850A" w:rsidR="00E01CDC" w:rsidRDefault="00E01CDC">
                      <w:pPr>
                        <w:rPr>
                          <w:b/>
                        </w:rPr>
                      </w:pPr>
                      <w:r>
                        <w:rPr>
                          <w:b/>
                          <w:bCs/>
                        </w:rPr>
                        <w:t>reg. Nr. T</w:t>
                      </w:r>
                      <w:r>
                        <w:rPr>
                          <w:b/>
                        </w:rPr>
                        <w:t>-</w:t>
                      </w:r>
                      <w:r w:rsidR="00482003">
                        <w:rPr>
                          <w:b/>
                        </w:rPr>
                        <w:t>107</w:t>
                      </w:r>
                    </w:p>
                    <w:p w14:paraId="0E038A6B" w14:textId="50119C2B" w:rsidR="00E01CDC" w:rsidRDefault="00E01CDC">
                      <w:pPr>
                        <w:rPr>
                          <w:b/>
                        </w:rPr>
                      </w:pPr>
                      <w:r>
                        <w:rPr>
                          <w:b/>
                        </w:rPr>
                        <w:t>2.</w:t>
                      </w:r>
                      <w:r w:rsidR="00482003">
                        <w:rPr>
                          <w:b/>
                        </w:rPr>
                        <w:t xml:space="preserve">10. </w:t>
                      </w:r>
                      <w:r>
                        <w:rPr>
                          <w:b/>
                        </w:rPr>
                        <w:t>darbotvarkės klausimas</w:t>
                      </w:r>
                    </w:p>
                  </w:txbxContent>
                </v:textbox>
                <w10:wrap anchorx="margin"/>
              </v:shape>
            </w:pict>
          </mc:Fallback>
        </mc:AlternateContent>
      </w:r>
    </w:p>
    <w:p w14:paraId="0BABE1E6" w14:textId="77777777" w:rsidR="004E6C78" w:rsidRDefault="004E6C78">
      <w:pPr>
        <w:pStyle w:val="Antrats"/>
        <w:jc w:val="center"/>
        <w:rPr>
          <w:b/>
          <w:bCs/>
          <w:caps/>
          <w:sz w:val="26"/>
        </w:rPr>
      </w:pPr>
      <w:bookmarkStart w:id="0" w:name="Institucija"/>
    </w:p>
    <w:p w14:paraId="5C05D90B" w14:textId="77777777" w:rsidR="004E6C78" w:rsidRDefault="004E6C78">
      <w:pPr>
        <w:pStyle w:val="Antrats"/>
        <w:jc w:val="center"/>
        <w:rPr>
          <w:b/>
          <w:bCs/>
          <w:caps/>
          <w:sz w:val="26"/>
        </w:rPr>
      </w:pPr>
    </w:p>
    <w:p w14:paraId="67646671" w14:textId="77777777" w:rsidR="004E6C78" w:rsidRDefault="004E6C78">
      <w:pPr>
        <w:pStyle w:val="Antrats"/>
        <w:jc w:val="center"/>
        <w:rPr>
          <w:b/>
          <w:bCs/>
          <w:caps/>
          <w:sz w:val="26"/>
        </w:rPr>
      </w:pPr>
    </w:p>
    <w:p w14:paraId="11BAE907" w14:textId="77777777" w:rsidR="00496533" w:rsidRDefault="00496533">
      <w:pPr>
        <w:pStyle w:val="Antrats"/>
        <w:jc w:val="center"/>
        <w:rPr>
          <w:b/>
          <w:bCs/>
          <w:caps/>
          <w:sz w:val="26"/>
        </w:rPr>
      </w:pPr>
      <w:r>
        <w:rPr>
          <w:b/>
          <w:bCs/>
          <w:caps/>
          <w:sz w:val="26"/>
        </w:rPr>
        <w:t>Pasvalio rajono savivaldybės taryba</w:t>
      </w:r>
      <w:bookmarkEnd w:id="0"/>
    </w:p>
    <w:p w14:paraId="4A8A5B34" w14:textId="77777777" w:rsidR="00496533" w:rsidRDefault="00496533"/>
    <w:p w14:paraId="38D9B36E" w14:textId="77777777" w:rsidR="00496533" w:rsidRDefault="00496533">
      <w:pPr>
        <w:jc w:val="center"/>
        <w:rPr>
          <w:b/>
          <w:caps/>
        </w:rPr>
      </w:pPr>
      <w:bookmarkStart w:id="1" w:name="Forma"/>
      <w:r>
        <w:rPr>
          <w:b/>
          <w:caps/>
        </w:rPr>
        <w:t>Sprendimas</w:t>
      </w:r>
      <w:bookmarkEnd w:id="1"/>
    </w:p>
    <w:p w14:paraId="12C55F20" w14:textId="77777777" w:rsidR="003A7B13" w:rsidRPr="003A7B13" w:rsidRDefault="003A7B13" w:rsidP="003A7B13">
      <w:pPr>
        <w:jc w:val="center"/>
        <w:rPr>
          <w:rFonts w:eastAsia="SimSun"/>
          <w:b/>
          <w:szCs w:val="24"/>
        </w:rPr>
      </w:pPr>
      <w:bookmarkStart w:id="2" w:name="Pavadinimas"/>
      <w:r w:rsidRPr="003A7B13">
        <w:rPr>
          <w:rFonts w:eastAsia="SimSun"/>
          <w:b/>
          <w:szCs w:val="24"/>
        </w:rPr>
        <w:t xml:space="preserve">DĖL LIETUVOS RESPUBLIKOS 2022 METŲ VALSTYBĖS BIUDŽETO LĖŠŲ, SKIRTŲ </w:t>
      </w:r>
      <w:r>
        <w:rPr>
          <w:rFonts w:eastAsia="SimSun"/>
          <w:b/>
          <w:szCs w:val="24"/>
        </w:rPr>
        <w:t>PASVALIO RAJONO</w:t>
      </w:r>
      <w:r w:rsidRPr="003A7B13">
        <w:rPr>
          <w:rFonts w:eastAsia="SimSun"/>
          <w:b/>
          <w:szCs w:val="24"/>
        </w:rPr>
        <w:t xml:space="preserve"> SAVIVALDYBĖS BENDROJO UGDYMO MOKYKLŲ TINKLO STIPRINIMO INICIATYVOMS SKATINTI, NAUDOJIMO TVARKOS APRAŠO PATVIRTINIMO</w:t>
      </w:r>
    </w:p>
    <w:p w14:paraId="38DF1223" w14:textId="77777777" w:rsidR="00496533" w:rsidRDefault="00496533" w:rsidP="00836AA3">
      <w:pPr>
        <w:jc w:val="center"/>
      </w:pPr>
    </w:p>
    <w:p w14:paraId="60C79571" w14:textId="77777777" w:rsidR="00496533" w:rsidRDefault="00496533">
      <w:pPr>
        <w:jc w:val="center"/>
      </w:pPr>
      <w:bookmarkStart w:id="3" w:name="Data"/>
      <w:bookmarkEnd w:id="2"/>
      <w:r>
        <w:t>20</w:t>
      </w:r>
      <w:r w:rsidR="00C70E3F">
        <w:t>2</w:t>
      </w:r>
      <w:r w:rsidR="00EF039F">
        <w:t>2</w:t>
      </w:r>
      <w:r w:rsidR="00C56F65">
        <w:t xml:space="preserve"> m. </w:t>
      </w:r>
      <w:r w:rsidR="00A23F82">
        <w:t>gegužės</w:t>
      </w:r>
      <w:r w:rsidR="001107AE" w:rsidRPr="001107AE">
        <w:rPr>
          <w:color w:val="FF0000"/>
        </w:rPr>
        <w:t xml:space="preserve"> </w:t>
      </w:r>
      <w:r w:rsidR="0076481B">
        <w:rPr>
          <w:color w:val="FF0000"/>
        </w:rPr>
        <w:t xml:space="preserve">   </w:t>
      </w:r>
      <w:r>
        <w:t xml:space="preserve"> d. </w:t>
      </w:r>
      <w:bookmarkEnd w:id="3"/>
      <w:r>
        <w:tab/>
        <w:t xml:space="preserve">Nr. </w:t>
      </w:r>
      <w:bookmarkStart w:id="4" w:name="Nr"/>
      <w:r>
        <w:t>T1-</w:t>
      </w:r>
    </w:p>
    <w:bookmarkEnd w:id="4"/>
    <w:p w14:paraId="63BCE9E3" w14:textId="77777777" w:rsidR="00496533" w:rsidRDefault="00496533">
      <w:pPr>
        <w:jc w:val="center"/>
      </w:pPr>
      <w:r>
        <w:t>Pasvalys</w:t>
      </w:r>
    </w:p>
    <w:p w14:paraId="6165A180" w14:textId="77777777" w:rsidR="00496533" w:rsidRDefault="00496533">
      <w:pPr>
        <w:pStyle w:val="Antrats"/>
        <w:tabs>
          <w:tab w:val="clear" w:pos="4153"/>
          <w:tab w:val="clear" w:pos="8306"/>
        </w:tabs>
      </w:pPr>
    </w:p>
    <w:p w14:paraId="12F184E4" w14:textId="77777777" w:rsidR="004E6C78" w:rsidRDefault="004E6C78">
      <w:pPr>
        <w:pStyle w:val="Antrats"/>
        <w:tabs>
          <w:tab w:val="clear" w:pos="4153"/>
          <w:tab w:val="clear" w:pos="8306"/>
        </w:tabs>
      </w:pPr>
    </w:p>
    <w:p w14:paraId="5683ED0D" w14:textId="1DB9036B" w:rsidR="005F4D75" w:rsidRPr="006565F0" w:rsidRDefault="003A5601" w:rsidP="006113BA">
      <w:pPr>
        <w:pStyle w:val="Antrats"/>
        <w:tabs>
          <w:tab w:val="clear" w:pos="4153"/>
          <w:tab w:val="clear" w:pos="8306"/>
        </w:tabs>
        <w:jc w:val="both"/>
        <w:rPr>
          <w:iCs/>
        </w:rPr>
      </w:pPr>
      <w:r>
        <w:rPr>
          <w:iCs/>
        </w:rPr>
        <w:tab/>
      </w:r>
      <w:r w:rsidR="005F4D75" w:rsidRPr="006565F0">
        <w:rPr>
          <w:iCs/>
        </w:rPr>
        <w:t xml:space="preserve">Vadovaudamasi Lietuvos Respublikos vietos savivaldos įstatymo 16 straipsnio </w:t>
      </w:r>
      <w:r w:rsidR="00927156" w:rsidRPr="006565F0">
        <w:rPr>
          <w:iCs/>
        </w:rPr>
        <w:t>2</w:t>
      </w:r>
      <w:r w:rsidR="005F4D75" w:rsidRPr="006565F0">
        <w:rPr>
          <w:iCs/>
        </w:rPr>
        <w:t xml:space="preserve"> dali</w:t>
      </w:r>
      <w:r w:rsidR="00927156" w:rsidRPr="006565F0">
        <w:rPr>
          <w:iCs/>
        </w:rPr>
        <w:t xml:space="preserve">es </w:t>
      </w:r>
      <w:r w:rsidR="00973F3F" w:rsidRPr="006565F0">
        <w:rPr>
          <w:iCs/>
        </w:rPr>
        <w:t>17</w:t>
      </w:r>
      <w:r w:rsidR="00927156" w:rsidRPr="006565F0">
        <w:rPr>
          <w:iCs/>
        </w:rPr>
        <w:t xml:space="preserve"> punktu</w:t>
      </w:r>
      <w:r w:rsidR="00E01CDC" w:rsidRPr="006565F0">
        <w:rPr>
          <w:iCs/>
        </w:rPr>
        <w:t xml:space="preserve"> ir</w:t>
      </w:r>
      <w:r w:rsidR="00D5785D" w:rsidRPr="006565F0">
        <w:rPr>
          <w:iCs/>
        </w:rPr>
        <w:t xml:space="preserve"> 4</w:t>
      </w:r>
      <w:r w:rsidR="00E01CDC" w:rsidRPr="006565F0">
        <w:rPr>
          <w:iCs/>
        </w:rPr>
        <w:t xml:space="preserve"> dalimi</w:t>
      </w:r>
      <w:r w:rsidR="005F4D75" w:rsidRPr="006565F0">
        <w:rPr>
          <w:iCs/>
        </w:rPr>
        <w:t>, 54 straipsnio 2 dalimi</w:t>
      </w:r>
      <w:r w:rsidR="005F4D75" w:rsidRPr="006565F0">
        <w:rPr>
          <w:i/>
          <w:iCs/>
        </w:rPr>
        <w:t xml:space="preserve">, </w:t>
      </w:r>
      <w:r w:rsidR="005F4D75" w:rsidRPr="006565F0">
        <w:rPr>
          <w:iCs/>
        </w:rPr>
        <w:t>Lietuvos Respublikos švietimo</w:t>
      </w:r>
      <w:r w:rsidR="005F4D75" w:rsidRPr="006565F0">
        <w:rPr>
          <w:i/>
          <w:iCs/>
        </w:rPr>
        <w:t xml:space="preserve"> </w:t>
      </w:r>
      <w:r w:rsidR="005F4D75" w:rsidRPr="006565F0">
        <w:rPr>
          <w:iCs/>
        </w:rPr>
        <w:t>įstatymo</w:t>
      </w:r>
      <w:r w:rsidR="00927156" w:rsidRPr="006565F0">
        <w:rPr>
          <w:iCs/>
        </w:rPr>
        <w:t xml:space="preserve"> 54 straipsnio 3 dalimi, </w:t>
      </w:r>
      <w:r w:rsidR="005F4D75" w:rsidRPr="006565F0">
        <w:rPr>
          <w:iCs/>
        </w:rPr>
        <w:t xml:space="preserve">58 straipsnio 1 dalies </w:t>
      </w:r>
      <w:r w:rsidR="00927156" w:rsidRPr="006565F0">
        <w:rPr>
          <w:iCs/>
        </w:rPr>
        <w:t>1</w:t>
      </w:r>
      <w:r w:rsidR="005F4D75" w:rsidRPr="006565F0">
        <w:rPr>
          <w:iCs/>
        </w:rPr>
        <w:t xml:space="preserve"> punktu, </w:t>
      </w:r>
      <w:r w:rsidR="00B91283" w:rsidRPr="006565F0">
        <w:rPr>
          <w:iCs/>
        </w:rPr>
        <w:t>įgyvendindama</w:t>
      </w:r>
      <w:r w:rsidR="006565F0" w:rsidRPr="006565F0">
        <w:rPr>
          <w:iCs/>
        </w:rPr>
        <w:t xml:space="preserve"> </w:t>
      </w:r>
      <w:r w:rsidR="006565F0" w:rsidRPr="006565F0">
        <w:rPr>
          <w:rFonts w:eastAsia="SimSun"/>
          <w:szCs w:val="24"/>
        </w:rPr>
        <w:t xml:space="preserve">Lietuvos Respublikos 2022 metų </w:t>
      </w:r>
      <w:r w:rsidR="008D63C4">
        <w:rPr>
          <w:rFonts w:eastAsia="SimSun"/>
          <w:szCs w:val="24"/>
        </w:rPr>
        <w:t>v</w:t>
      </w:r>
      <w:r w:rsidR="008D63C4" w:rsidRPr="006565F0">
        <w:rPr>
          <w:rFonts w:eastAsia="SimSun"/>
          <w:szCs w:val="24"/>
        </w:rPr>
        <w:t xml:space="preserve">alstybės </w:t>
      </w:r>
      <w:r w:rsidR="006565F0" w:rsidRPr="006565F0">
        <w:rPr>
          <w:rFonts w:eastAsia="SimSun"/>
          <w:szCs w:val="24"/>
        </w:rPr>
        <w:t>biudžeto lėšų, skirtų savivaldybių bendrojo ugdymo mokyklų tinklo stiprinimo iniciatyvoms skatinti, paskirstymo tvarkos apraš</w:t>
      </w:r>
      <w:r w:rsidR="004E6C78">
        <w:rPr>
          <w:rFonts w:eastAsia="SimSun"/>
          <w:szCs w:val="24"/>
        </w:rPr>
        <w:t>o</w:t>
      </w:r>
      <w:r w:rsidR="006565F0" w:rsidRPr="006565F0">
        <w:rPr>
          <w:rFonts w:eastAsia="SimSun"/>
          <w:szCs w:val="24"/>
        </w:rPr>
        <w:t>, patvirtint</w:t>
      </w:r>
      <w:r w:rsidR="004E6C78">
        <w:rPr>
          <w:rFonts w:eastAsia="SimSun"/>
          <w:szCs w:val="24"/>
        </w:rPr>
        <w:t>o</w:t>
      </w:r>
      <w:r w:rsidR="006565F0" w:rsidRPr="006565F0">
        <w:rPr>
          <w:rFonts w:eastAsia="SimSun"/>
          <w:szCs w:val="24"/>
        </w:rPr>
        <w:t xml:space="preserve"> Lietuvos Respublikos švietimo, mokslo ir sporto ministro 2022 m. kovo 2 d. įsakymu Nr. V-342 „Dėl Lietuvos Respublikos 2022 metų valstybės biudžeto lėšų, skirtų savivaldybių bendrojo ugdymo mokyklų tinklų stiprinimo iniciatyvoms skatinti, paskirstymo tvarkos aprašo patvirtinimo“</w:t>
      </w:r>
      <w:r w:rsidR="00213BEE" w:rsidRPr="006565F0">
        <w:rPr>
          <w:szCs w:val="24"/>
        </w:rPr>
        <w:t>,</w:t>
      </w:r>
      <w:r w:rsidR="00927156" w:rsidRPr="006565F0">
        <w:rPr>
          <w:szCs w:val="24"/>
        </w:rPr>
        <w:t xml:space="preserve"> </w:t>
      </w:r>
      <w:r w:rsidR="004E6C78">
        <w:rPr>
          <w:szCs w:val="24"/>
        </w:rPr>
        <w:t xml:space="preserve">10 punktą, </w:t>
      </w:r>
      <w:r w:rsidR="005F4D75" w:rsidRPr="006565F0">
        <w:rPr>
          <w:iCs/>
        </w:rPr>
        <w:t xml:space="preserve">Pasvalio rajono savivaldybės taryba </w:t>
      </w:r>
      <w:r w:rsidR="005F4D75" w:rsidRPr="006565F0">
        <w:rPr>
          <w:iCs/>
          <w:spacing w:val="44"/>
        </w:rPr>
        <w:t>nusprendžia</w:t>
      </w:r>
      <w:r w:rsidR="00F82492" w:rsidRPr="006565F0">
        <w:rPr>
          <w:iCs/>
          <w:spacing w:val="44"/>
        </w:rPr>
        <w:t>:</w:t>
      </w:r>
    </w:p>
    <w:p w14:paraId="4BFBED15" w14:textId="26CA7B2F" w:rsidR="004E6C78" w:rsidRPr="006565F0" w:rsidRDefault="005F4D75" w:rsidP="006113BA">
      <w:pPr>
        <w:pStyle w:val="Antrats"/>
        <w:tabs>
          <w:tab w:val="clear" w:pos="4153"/>
          <w:tab w:val="clear" w:pos="8306"/>
        </w:tabs>
        <w:jc w:val="both"/>
        <w:rPr>
          <w:iCs/>
        </w:rPr>
      </w:pPr>
      <w:r w:rsidRPr="006565F0">
        <w:rPr>
          <w:iCs/>
        </w:rPr>
        <w:tab/>
      </w:r>
      <w:r w:rsidR="00955D9D" w:rsidRPr="006565F0">
        <w:rPr>
          <w:iCs/>
        </w:rPr>
        <w:t xml:space="preserve">Patvirtinti </w:t>
      </w:r>
      <w:r w:rsidR="004E6C78">
        <w:rPr>
          <w:rFonts w:eastAsia="SimSun"/>
          <w:bCs/>
          <w:szCs w:val="24"/>
        </w:rPr>
        <w:t>L</w:t>
      </w:r>
      <w:r w:rsidR="004E6C78" w:rsidRPr="004E6C78">
        <w:rPr>
          <w:rFonts w:eastAsia="SimSun"/>
          <w:bCs/>
          <w:szCs w:val="24"/>
        </w:rPr>
        <w:t xml:space="preserve">ietuvos </w:t>
      </w:r>
      <w:r w:rsidR="004E6C78">
        <w:rPr>
          <w:rFonts w:eastAsia="SimSun"/>
          <w:bCs/>
          <w:szCs w:val="24"/>
        </w:rPr>
        <w:t>R</w:t>
      </w:r>
      <w:r w:rsidR="004E6C78" w:rsidRPr="004E6C78">
        <w:rPr>
          <w:rFonts w:eastAsia="SimSun"/>
          <w:bCs/>
          <w:szCs w:val="24"/>
        </w:rPr>
        <w:t xml:space="preserve">espublikos 2022 metų valstybės biudžeto lėšų, skirtų </w:t>
      </w:r>
      <w:r w:rsidR="004E6C78">
        <w:rPr>
          <w:rFonts w:eastAsia="SimSun"/>
          <w:bCs/>
          <w:szCs w:val="24"/>
        </w:rPr>
        <w:t>P</w:t>
      </w:r>
      <w:r w:rsidR="004E6C78" w:rsidRPr="004E6C78">
        <w:rPr>
          <w:rFonts w:eastAsia="SimSun"/>
          <w:bCs/>
          <w:szCs w:val="24"/>
        </w:rPr>
        <w:t>asvalio rajono savivaldybės bendrojo ugdymo mokyklų tinklo stiprinimo iniciatyvoms skatinti, naudojimo tvarkos apraš</w:t>
      </w:r>
      <w:r w:rsidR="004E6C78">
        <w:rPr>
          <w:rFonts w:eastAsia="SimSun"/>
          <w:bCs/>
          <w:szCs w:val="24"/>
        </w:rPr>
        <w:t>ą</w:t>
      </w:r>
      <w:r w:rsidRPr="006565F0">
        <w:rPr>
          <w:iCs/>
        </w:rPr>
        <w:t xml:space="preserve"> (pridedama).</w:t>
      </w:r>
    </w:p>
    <w:p w14:paraId="1AC31F84" w14:textId="77777777" w:rsidR="00913948" w:rsidRPr="006565F0" w:rsidRDefault="005F4D75" w:rsidP="006113BA">
      <w:pPr>
        <w:ind w:firstLine="567"/>
        <w:jc w:val="both"/>
        <w:rPr>
          <w:color w:val="000000"/>
          <w:szCs w:val="24"/>
          <w:shd w:val="clear" w:color="auto" w:fill="FFFFFF"/>
        </w:rPr>
      </w:pPr>
      <w:r w:rsidRPr="006565F0">
        <w:rPr>
          <w:iCs/>
        </w:rPr>
        <w:tab/>
      </w:r>
      <w:r w:rsidR="00913948" w:rsidRPr="006565F0">
        <w:rPr>
          <w:color w:val="000000"/>
          <w:szCs w:val="24"/>
        </w:rPr>
        <w:t>Sprendimas gali būti skundžiamas Lietuvos Respublikos administracinių bylų teisenos įstatymo nustatyta tvarka</w:t>
      </w:r>
      <w:r w:rsidR="00913948" w:rsidRPr="006565F0">
        <w:rPr>
          <w:color w:val="000000"/>
          <w:szCs w:val="24"/>
          <w:shd w:val="clear" w:color="auto" w:fill="FFFFFF"/>
        </w:rPr>
        <w:t>.</w:t>
      </w:r>
    </w:p>
    <w:p w14:paraId="4A9CB91C" w14:textId="77777777" w:rsidR="00964982" w:rsidRDefault="00964982" w:rsidP="00C56F65">
      <w:pPr>
        <w:pStyle w:val="Antrats"/>
        <w:tabs>
          <w:tab w:val="clear" w:pos="4153"/>
          <w:tab w:val="clear" w:pos="8306"/>
        </w:tabs>
        <w:jc w:val="both"/>
      </w:pPr>
    </w:p>
    <w:p w14:paraId="79763CD0"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4807E901" w14:textId="77777777" w:rsidR="00BC7A27" w:rsidRDefault="00BC7A27" w:rsidP="00C56F65">
      <w:pPr>
        <w:pStyle w:val="Antrats"/>
        <w:tabs>
          <w:tab w:val="clear" w:pos="4153"/>
          <w:tab w:val="clear" w:pos="8306"/>
        </w:tabs>
        <w:rPr>
          <w:szCs w:val="24"/>
        </w:rPr>
      </w:pPr>
    </w:p>
    <w:p w14:paraId="7282A580" w14:textId="77777777" w:rsidR="00C0769A" w:rsidRDefault="00C0769A" w:rsidP="00C56F65">
      <w:pPr>
        <w:pStyle w:val="Antrats"/>
        <w:tabs>
          <w:tab w:val="clear" w:pos="4153"/>
          <w:tab w:val="clear" w:pos="8306"/>
        </w:tabs>
        <w:rPr>
          <w:sz w:val="20"/>
        </w:rPr>
      </w:pPr>
    </w:p>
    <w:p w14:paraId="19140D0C" w14:textId="77777777" w:rsidR="00C0769A" w:rsidRDefault="00C0769A" w:rsidP="00C56F65">
      <w:pPr>
        <w:pStyle w:val="Antrats"/>
        <w:tabs>
          <w:tab w:val="clear" w:pos="4153"/>
          <w:tab w:val="clear" w:pos="8306"/>
        </w:tabs>
        <w:rPr>
          <w:sz w:val="20"/>
        </w:rPr>
      </w:pPr>
    </w:p>
    <w:p w14:paraId="31454E6A" w14:textId="77777777" w:rsidR="00C0769A" w:rsidRDefault="00C0769A" w:rsidP="00C56F65">
      <w:pPr>
        <w:pStyle w:val="Antrats"/>
        <w:tabs>
          <w:tab w:val="clear" w:pos="4153"/>
          <w:tab w:val="clear" w:pos="8306"/>
        </w:tabs>
        <w:rPr>
          <w:sz w:val="20"/>
        </w:rPr>
      </w:pPr>
    </w:p>
    <w:p w14:paraId="4ADE162B" w14:textId="77777777" w:rsidR="00C0769A" w:rsidRDefault="00C0769A" w:rsidP="00C56F65">
      <w:pPr>
        <w:pStyle w:val="Antrats"/>
        <w:tabs>
          <w:tab w:val="clear" w:pos="4153"/>
          <w:tab w:val="clear" w:pos="8306"/>
        </w:tabs>
        <w:rPr>
          <w:sz w:val="20"/>
        </w:rPr>
      </w:pPr>
    </w:p>
    <w:p w14:paraId="45054B69" w14:textId="28CE6BC6" w:rsidR="00C0769A" w:rsidRPr="0071171A" w:rsidRDefault="0071171A" w:rsidP="00C56F65">
      <w:pPr>
        <w:pStyle w:val="Antrats"/>
        <w:tabs>
          <w:tab w:val="clear" w:pos="4153"/>
          <w:tab w:val="clear" w:pos="8306"/>
        </w:tabs>
        <w:rPr>
          <w:b/>
          <w:bCs/>
          <w:szCs w:val="24"/>
        </w:rPr>
      </w:pPr>
      <w:r w:rsidRPr="0071171A">
        <w:rPr>
          <w:b/>
          <w:bCs/>
          <w:szCs w:val="24"/>
        </w:rPr>
        <w:t>Po komitetų patikslinti Aprašo 3 punktas ir 7.6. papunktis</w:t>
      </w:r>
    </w:p>
    <w:p w14:paraId="772AC22C" w14:textId="77777777" w:rsidR="00C0769A" w:rsidRDefault="00C0769A" w:rsidP="00C56F65">
      <w:pPr>
        <w:pStyle w:val="Antrats"/>
        <w:tabs>
          <w:tab w:val="clear" w:pos="4153"/>
          <w:tab w:val="clear" w:pos="8306"/>
        </w:tabs>
        <w:rPr>
          <w:sz w:val="20"/>
        </w:rPr>
      </w:pPr>
    </w:p>
    <w:p w14:paraId="3E6819AE" w14:textId="77777777" w:rsidR="00C0769A" w:rsidRDefault="00C0769A" w:rsidP="00C56F65">
      <w:pPr>
        <w:pStyle w:val="Antrats"/>
        <w:tabs>
          <w:tab w:val="clear" w:pos="4153"/>
          <w:tab w:val="clear" w:pos="8306"/>
        </w:tabs>
        <w:rPr>
          <w:sz w:val="20"/>
        </w:rPr>
      </w:pPr>
    </w:p>
    <w:p w14:paraId="3AAE0041" w14:textId="77777777" w:rsidR="00C0769A" w:rsidRDefault="00C0769A" w:rsidP="00C56F65">
      <w:pPr>
        <w:pStyle w:val="Antrats"/>
        <w:tabs>
          <w:tab w:val="clear" w:pos="4153"/>
          <w:tab w:val="clear" w:pos="8306"/>
        </w:tabs>
        <w:rPr>
          <w:sz w:val="20"/>
        </w:rPr>
      </w:pPr>
    </w:p>
    <w:p w14:paraId="404C8180" w14:textId="77777777" w:rsidR="00C0769A" w:rsidRDefault="00C0769A" w:rsidP="00C56F65">
      <w:pPr>
        <w:pStyle w:val="Antrats"/>
        <w:tabs>
          <w:tab w:val="clear" w:pos="4153"/>
          <w:tab w:val="clear" w:pos="8306"/>
        </w:tabs>
        <w:rPr>
          <w:sz w:val="20"/>
        </w:rPr>
      </w:pPr>
    </w:p>
    <w:p w14:paraId="5210D4B4" w14:textId="77777777" w:rsidR="00C0769A" w:rsidRDefault="00C0769A" w:rsidP="00C56F65">
      <w:pPr>
        <w:pStyle w:val="Antrats"/>
        <w:tabs>
          <w:tab w:val="clear" w:pos="4153"/>
          <w:tab w:val="clear" w:pos="8306"/>
        </w:tabs>
        <w:rPr>
          <w:sz w:val="20"/>
        </w:rPr>
      </w:pPr>
    </w:p>
    <w:p w14:paraId="6ABCE8FC" w14:textId="77777777" w:rsidR="00C0769A" w:rsidRDefault="00C0769A" w:rsidP="00C56F65">
      <w:pPr>
        <w:pStyle w:val="Antrats"/>
        <w:tabs>
          <w:tab w:val="clear" w:pos="4153"/>
          <w:tab w:val="clear" w:pos="8306"/>
        </w:tabs>
        <w:rPr>
          <w:sz w:val="20"/>
        </w:rPr>
      </w:pPr>
    </w:p>
    <w:p w14:paraId="6C430574" w14:textId="77777777" w:rsidR="00C0769A" w:rsidRDefault="00C0769A" w:rsidP="00C56F65">
      <w:pPr>
        <w:pStyle w:val="Antrats"/>
        <w:tabs>
          <w:tab w:val="clear" w:pos="4153"/>
          <w:tab w:val="clear" w:pos="8306"/>
        </w:tabs>
        <w:rPr>
          <w:sz w:val="20"/>
        </w:rPr>
      </w:pPr>
    </w:p>
    <w:p w14:paraId="62352149" w14:textId="77777777" w:rsidR="00C0769A" w:rsidRDefault="00C0769A" w:rsidP="00C56F65">
      <w:pPr>
        <w:pStyle w:val="Antrats"/>
        <w:tabs>
          <w:tab w:val="clear" w:pos="4153"/>
          <w:tab w:val="clear" w:pos="8306"/>
        </w:tabs>
        <w:rPr>
          <w:sz w:val="20"/>
        </w:rPr>
      </w:pPr>
    </w:p>
    <w:p w14:paraId="2B4AC7F6" w14:textId="77777777" w:rsidR="00C0769A" w:rsidRDefault="00C0769A" w:rsidP="00C56F65">
      <w:pPr>
        <w:pStyle w:val="Antrats"/>
        <w:tabs>
          <w:tab w:val="clear" w:pos="4153"/>
          <w:tab w:val="clear" w:pos="8306"/>
        </w:tabs>
        <w:rPr>
          <w:sz w:val="20"/>
        </w:rPr>
      </w:pPr>
    </w:p>
    <w:p w14:paraId="6EE5E50E" w14:textId="77777777" w:rsidR="00C0769A" w:rsidRDefault="00C0769A" w:rsidP="00C56F65">
      <w:pPr>
        <w:pStyle w:val="Antrats"/>
        <w:tabs>
          <w:tab w:val="clear" w:pos="4153"/>
          <w:tab w:val="clear" w:pos="8306"/>
        </w:tabs>
        <w:rPr>
          <w:sz w:val="20"/>
        </w:rPr>
      </w:pPr>
    </w:p>
    <w:p w14:paraId="04914F3D" w14:textId="77777777" w:rsidR="00C56F65" w:rsidRPr="00913948" w:rsidRDefault="00964982" w:rsidP="00C56F65">
      <w:pPr>
        <w:pStyle w:val="Antrats"/>
        <w:tabs>
          <w:tab w:val="clear" w:pos="4153"/>
          <w:tab w:val="clear" w:pos="8306"/>
        </w:tabs>
        <w:rPr>
          <w:sz w:val="20"/>
        </w:rPr>
      </w:pPr>
      <w:r w:rsidRPr="00913948">
        <w:rPr>
          <w:sz w:val="20"/>
        </w:rPr>
        <w:t>P</w:t>
      </w:r>
      <w:r w:rsidR="00C56F65" w:rsidRPr="00913948">
        <w:rPr>
          <w:sz w:val="20"/>
        </w:rPr>
        <w:t>arengė</w:t>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p>
    <w:p w14:paraId="55998218" w14:textId="77777777" w:rsidR="00C56F65" w:rsidRPr="00913948" w:rsidRDefault="003A5601" w:rsidP="00C56F65">
      <w:pPr>
        <w:pStyle w:val="Antrats"/>
        <w:tabs>
          <w:tab w:val="clear" w:pos="4153"/>
          <w:tab w:val="clear" w:pos="8306"/>
        </w:tabs>
        <w:rPr>
          <w:sz w:val="20"/>
        </w:rPr>
      </w:pPr>
      <w:r w:rsidRPr="00913948">
        <w:rPr>
          <w:sz w:val="20"/>
        </w:rPr>
        <w:t>Švietimo ir sporto skyriaus vyr. specialistė</w:t>
      </w:r>
      <w:r w:rsidR="00913948" w:rsidRPr="00913948">
        <w:rPr>
          <w:sz w:val="20"/>
        </w:rPr>
        <w:t xml:space="preserve"> V. Bajoriūnaitė</w:t>
      </w:r>
    </w:p>
    <w:p w14:paraId="7D20AFA0" w14:textId="77777777" w:rsidR="005B3856" w:rsidRPr="00913948" w:rsidRDefault="00913948" w:rsidP="00913948">
      <w:pPr>
        <w:pStyle w:val="Antrats"/>
        <w:rPr>
          <w:sz w:val="20"/>
        </w:rPr>
      </w:pPr>
      <w:r w:rsidRPr="00913948">
        <w:rPr>
          <w:sz w:val="22"/>
          <w:szCs w:val="22"/>
        </w:rPr>
        <w:t>202</w:t>
      </w:r>
      <w:r w:rsidR="00EF039F">
        <w:rPr>
          <w:sz w:val="22"/>
          <w:szCs w:val="22"/>
        </w:rPr>
        <w:t>2</w:t>
      </w:r>
      <w:r w:rsidRPr="00913948">
        <w:rPr>
          <w:sz w:val="22"/>
          <w:szCs w:val="22"/>
        </w:rPr>
        <w:t>-0</w:t>
      </w:r>
      <w:r w:rsidR="003A7B13">
        <w:rPr>
          <w:sz w:val="22"/>
          <w:szCs w:val="22"/>
        </w:rPr>
        <w:t>5</w:t>
      </w:r>
      <w:r w:rsidRPr="00913948">
        <w:rPr>
          <w:sz w:val="22"/>
          <w:szCs w:val="22"/>
        </w:rPr>
        <w:t>-</w:t>
      </w:r>
      <w:r w:rsidR="00000F40">
        <w:rPr>
          <w:sz w:val="22"/>
          <w:szCs w:val="22"/>
        </w:rPr>
        <w:t>0</w:t>
      </w:r>
      <w:r w:rsidR="00814FC0">
        <w:rPr>
          <w:sz w:val="22"/>
          <w:szCs w:val="22"/>
        </w:rPr>
        <w:t>3</w:t>
      </w:r>
      <w:r w:rsidR="00EF039F">
        <w:rPr>
          <w:sz w:val="22"/>
          <w:szCs w:val="22"/>
        </w:rPr>
        <w:t xml:space="preserve"> </w:t>
      </w:r>
      <w:r w:rsidRPr="00913948">
        <w:rPr>
          <w:szCs w:val="24"/>
        </w:rPr>
        <w:t xml:space="preserve"> </w:t>
      </w:r>
      <w:r>
        <w:rPr>
          <w:sz w:val="20"/>
        </w:rPr>
        <w:t>s</w:t>
      </w:r>
      <w:r w:rsidRPr="00913948">
        <w:rPr>
          <w:sz w:val="20"/>
        </w:rPr>
        <w:t>uderinta DVS Nr. RTS-</w:t>
      </w:r>
      <w:r w:rsidR="000A2EE5">
        <w:rPr>
          <w:sz w:val="20"/>
        </w:rPr>
        <w:t>119</w:t>
      </w:r>
    </w:p>
    <w:p w14:paraId="69FE9651" w14:textId="77777777" w:rsidR="003269D5" w:rsidRDefault="008520E7" w:rsidP="003269D5">
      <w:r>
        <w:rPr>
          <w:szCs w:val="24"/>
        </w:rPr>
        <w:br w:type="page"/>
      </w:r>
      <w:r w:rsidR="003269D5">
        <w:lastRenderedPageBreak/>
        <w:t>Pasvalio rajono savivaldybės tarybai</w:t>
      </w:r>
    </w:p>
    <w:p w14:paraId="66D991BE" w14:textId="77777777" w:rsidR="003269D5" w:rsidRDefault="003269D5" w:rsidP="003269D5"/>
    <w:p w14:paraId="43B90A94" w14:textId="77777777" w:rsidR="003269D5" w:rsidRDefault="003269D5" w:rsidP="003269D5">
      <w:pPr>
        <w:jc w:val="center"/>
        <w:rPr>
          <w:b/>
        </w:rPr>
      </w:pPr>
      <w:r>
        <w:rPr>
          <w:b/>
        </w:rPr>
        <w:t>AIŠKINAMASIS RAŠTAS</w:t>
      </w:r>
    </w:p>
    <w:p w14:paraId="2CD7A077" w14:textId="77777777" w:rsidR="003269D5" w:rsidRPr="006D2AC5" w:rsidRDefault="003269D5" w:rsidP="003269D5">
      <w:pPr>
        <w:jc w:val="center"/>
        <w:rPr>
          <w:bCs/>
        </w:rPr>
      </w:pPr>
    </w:p>
    <w:p w14:paraId="6733C0C2" w14:textId="77777777" w:rsidR="003A7B13" w:rsidRPr="003A7B13" w:rsidRDefault="003A7B13" w:rsidP="003A7B13">
      <w:pPr>
        <w:jc w:val="center"/>
        <w:rPr>
          <w:rFonts w:eastAsia="SimSun"/>
          <w:b/>
          <w:szCs w:val="24"/>
        </w:rPr>
      </w:pPr>
      <w:r w:rsidRPr="003A7B13">
        <w:rPr>
          <w:rFonts w:eastAsia="SimSun"/>
          <w:b/>
          <w:szCs w:val="24"/>
        </w:rPr>
        <w:t xml:space="preserve">DĖL LIETUVOS RESPUBLIKOS 2022 METŲ VALSTYBĖS BIUDŽETO LĖŠŲ, SKIRTŲ </w:t>
      </w:r>
      <w:r>
        <w:rPr>
          <w:rFonts w:eastAsia="SimSun"/>
          <w:b/>
          <w:szCs w:val="24"/>
        </w:rPr>
        <w:t>PASVALIO RAJONO</w:t>
      </w:r>
      <w:r w:rsidRPr="003A7B13">
        <w:rPr>
          <w:rFonts w:eastAsia="SimSun"/>
          <w:b/>
          <w:szCs w:val="24"/>
        </w:rPr>
        <w:t xml:space="preserve"> SAVIVALDYBĖS BENDROJO UGDYMO MOKYKLŲ TINKLO STIPRINIMO INICIATYVOMS SKATINTI, NAUDOJIMO TVARKOS APRAŠO PATVIRTINIMO</w:t>
      </w:r>
    </w:p>
    <w:p w14:paraId="4776AFE9" w14:textId="77777777" w:rsidR="003269D5" w:rsidRDefault="003269D5" w:rsidP="003269D5">
      <w:pPr>
        <w:jc w:val="center"/>
        <w:rPr>
          <w:b/>
          <w:caps/>
        </w:rPr>
      </w:pPr>
    </w:p>
    <w:p w14:paraId="2F476AE4" w14:textId="77777777" w:rsidR="003269D5" w:rsidRPr="00444749" w:rsidRDefault="003269D5" w:rsidP="003269D5">
      <w:pPr>
        <w:jc w:val="center"/>
      </w:pPr>
      <w:r w:rsidRPr="00000F40">
        <w:t>20</w:t>
      </w:r>
      <w:r w:rsidR="00C70E3F" w:rsidRPr="00000F40">
        <w:t>2</w:t>
      </w:r>
      <w:r w:rsidR="00EF039F" w:rsidRPr="00000F40">
        <w:t>2</w:t>
      </w:r>
      <w:r w:rsidRPr="00000F40">
        <w:t>-0</w:t>
      </w:r>
      <w:r w:rsidR="003A7B13">
        <w:t>5</w:t>
      </w:r>
      <w:r w:rsidRPr="00000F40">
        <w:t>-0</w:t>
      </w:r>
      <w:r w:rsidR="00814FC0">
        <w:t>3</w:t>
      </w:r>
    </w:p>
    <w:p w14:paraId="61DC8039" w14:textId="77777777" w:rsidR="003269D5" w:rsidRDefault="003269D5" w:rsidP="003269D5">
      <w:pPr>
        <w:jc w:val="center"/>
      </w:pPr>
      <w:r>
        <w:t>Pasvalys</w:t>
      </w:r>
    </w:p>
    <w:p w14:paraId="632FEAEA" w14:textId="77777777" w:rsidR="002F0857" w:rsidRDefault="002F0857" w:rsidP="003269D5">
      <w:pPr>
        <w:jc w:val="center"/>
      </w:pPr>
    </w:p>
    <w:p w14:paraId="4053F58A" w14:textId="77777777" w:rsidR="003269D5" w:rsidRPr="004F6982" w:rsidRDefault="003269D5" w:rsidP="003269D5">
      <w:pPr>
        <w:rPr>
          <w:b/>
        </w:rPr>
      </w:pPr>
      <w:r>
        <w:rPr>
          <w:b/>
        </w:rPr>
        <w:tab/>
      </w:r>
      <w:r w:rsidRPr="004F6982">
        <w:rPr>
          <w:b/>
        </w:rPr>
        <w:t xml:space="preserve">1. </w:t>
      </w:r>
      <w:r w:rsidR="00EF039F">
        <w:rPr>
          <w:b/>
        </w:rPr>
        <w:t>Sprendimo projekto rengimo pagrindas.</w:t>
      </w:r>
    </w:p>
    <w:p w14:paraId="6FFF8380" w14:textId="77777777" w:rsidR="003269D5" w:rsidRDefault="003269D5" w:rsidP="003269D5">
      <w:pPr>
        <w:jc w:val="both"/>
      </w:pPr>
      <w:r>
        <w:tab/>
      </w:r>
      <w:r w:rsidRPr="004F6982">
        <w:t xml:space="preserve"> </w:t>
      </w:r>
      <w:r w:rsidR="004E6C78" w:rsidRPr="006565F0">
        <w:rPr>
          <w:rFonts w:eastAsia="SimSun"/>
          <w:szCs w:val="24"/>
        </w:rPr>
        <w:t>Lietuvos Respublikos 2022 metų Valstybės biudžeto lėšų, skirtų savivaldybių bendrojo ugdymo mokyklų tinklo stiprinimo iniciatyvoms skatinti, paskirstymo tvarkos apraš</w:t>
      </w:r>
      <w:r w:rsidR="004E6C78">
        <w:rPr>
          <w:rFonts w:eastAsia="SimSun"/>
          <w:szCs w:val="24"/>
        </w:rPr>
        <w:t>as</w:t>
      </w:r>
      <w:r w:rsidR="004E6C78" w:rsidRPr="006565F0">
        <w:rPr>
          <w:rFonts w:eastAsia="SimSun"/>
          <w:szCs w:val="24"/>
        </w:rPr>
        <w:t>, patvirtint</w:t>
      </w:r>
      <w:r w:rsidR="004E6C78">
        <w:rPr>
          <w:rFonts w:eastAsia="SimSun"/>
          <w:szCs w:val="24"/>
        </w:rPr>
        <w:t>as</w:t>
      </w:r>
      <w:r w:rsidR="004E6C78" w:rsidRPr="006565F0">
        <w:rPr>
          <w:rFonts w:eastAsia="SimSun"/>
          <w:szCs w:val="24"/>
        </w:rPr>
        <w:t xml:space="preserve"> Lietuvos Respublikos švietimo, mokslo ir sporto ministro 2022 m. kovo 2 d. įsakymu Nr. V-342 „Dėl Lietuvos Respublikos 2022 metų valstybės biudžeto lėšų, skirtų savivaldybių bendrojo ugdymo mokyklų tinklų stiprinimo iniciatyvoms skatinti, paskirstymo tvarkos aprašo patvirtinimo“</w:t>
      </w:r>
      <w:r w:rsidR="00E04B58" w:rsidRPr="00E04B58">
        <w:rPr>
          <w:rFonts w:eastAsia="SimSun"/>
          <w:bCs/>
          <w:szCs w:val="24"/>
        </w:rPr>
        <w:t xml:space="preserve"> </w:t>
      </w:r>
      <w:r w:rsidR="00E04B58">
        <w:rPr>
          <w:rFonts w:eastAsia="SimSun"/>
          <w:bCs/>
          <w:szCs w:val="24"/>
        </w:rPr>
        <w:t>(toliau – Aprašas)</w:t>
      </w:r>
      <w:r w:rsidR="004E6C78">
        <w:rPr>
          <w:szCs w:val="24"/>
        </w:rPr>
        <w:t>.</w:t>
      </w:r>
    </w:p>
    <w:p w14:paraId="3864B392" w14:textId="77777777" w:rsidR="00EF039F" w:rsidRDefault="00EF039F" w:rsidP="00EF039F">
      <w:pPr>
        <w:ind w:firstLine="720"/>
        <w:jc w:val="both"/>
        <w:rPr>
          <w:b/>
          <w:szCs w:val="24"/>
        </w:rPr>
      </w:pPr>
      <w:r>
        <w:rPr>
          <w:b/>
          <w:szCs w:val="24"/>
        </w:rPr>
        <w:t>2. S</w:t>
      </w:r>
      <w:r>
        <w:rPr>
          <w:b/>
          <w:color w:val="000000"/>
          <w:szCs w:val="24"/>
        </w:rPr>
        <w:t>prendimo projekto tikslai ir uždaviniai</w:t>
      </w:r>
      <w:r>
        <w:rPr>
          <w:b/>
          <w:szCs w:val="24"/>
        </w:rPr>
        <w:t>.</w:t>
      </w:r>
    </w:p>
    <w:p w14:paraId="0A49BB70" w14:textId="77777777" w:rsidR="00597BA4" w:rsidRDefault="00955D9D" w:rsidP="00EF039F">
      <w:pPr>
        <w:ind w:firstLine="720"/>
        <w:jc w:val="both"/>
        <w:rPr>
          <w:b/>
          <w:szCs w:val="24"/>
        </w:rPr>
      </w:pPr>
      <w:r>
        <w:t xml:space="preserve">Patvirtinti </w:t>
      </w:r>
      <w:r w:rsidR="004E6C78">
        <w:rPr>
          <w:rFonts w:eastAsia="SimSun"/>
          <w:bCs/>
          <w:szCs w:val="24"/>
        </w:rPr>
        <w:t>L</w:t>
      </w:r>
      <w:r w:rsidR="004E6C78" w:rsidRPr="004E6C78">
        <w:rPr>
          <w:rFonts w:eastAsia="SimSun"/>
          <w:bCs/>
          <w:szCs w:val="24"/>
        </w:rPr>
        <w:t xml:space="preserve">ietuvos </w:t>
      </w:r>
      <w:r w:rsidR="004E6C78">
        <w:rPr>
          <w:rFonts w:eastAsia="SimSun"/>
          <w:bCs/>
          <w:szCs w:val="24"/>
        </w:rPr>
        <w:t>R</w:t>
      </w:r>
      <w:r w:rsidR="004E6C78" w:rsidRPr="004E6C78">
        <w:rPr>
          <w:rFonts w:eastAsia="SimSun"/>
          <w:bCs/>
          <w:szCs w:val="24"/>
        </w:rPr>
        <w:t xml:space="preserve">espublikos 2022 metų valstybės biudžeto lėšų, skirtų </w:t>
      </w:r>
      <w:r w:rsidR="004E6C78">
        <w:rPr>
          <w:rFonts w:eastAsia="SimSun"/>
          <w:bCs/>
          <w:szCs w:val="24"/>
        </w:rPr>
        <w:t>P</w:t>
      </w:r>
      <w:r w:rsidR="004E6C78" w:rsidRPr="004E6C78">
        <w:rPr>
          <w:rFonts w:eastAsia="SimSun"/>
          <w:bCs/>
          <w:szCs w:val="24"/>
        </w:rPr>
        <w:t>asvalio rajono savivaldybės bendrojo ugdymo mokyklų tinklo stiprinimo iniciatyvoms skatinti, naudojimo tvarkos apraš</w:t>
      </w:r>
      <w:r w:rsidR="004E6C78">
        <w:rPr>
          <w:rFonts w:eastAsia="SimSun"/>
          <w:bCs/>
          <w:szCs w:val="24"/>
        </w:rPr>
        <w:t>ą</w:t>
      </w:r>
      <w:r w:rsidR="000B7B24">
        <w:rPr>
          <w:rFonts w:eastAsia="SimSun"/>
          <w:bCs/>
          <w:szCs w:val="24"/>
        </w:rPr>
        <w:t>.</w:t>
      </w:r>
    </w:p>
    <w:p w14:paraId="49A87188" w14:textId="77777777" w:rsidR="00EF039F" w:rsidRDefault="00EF039F" w:rsidP="00EF039F">
      <w:pPr>
        <w:ind w:firstLine="720"/>
        <w:jc w:val="both"/>
        <w:rPr>
          <w:b/>
          <w:bCs/>
          <w:szCs w:val="24"/>
        </w:rPr>
      </w:pPr>
      <w:r>
        <w:rPr>
          <w:b/>
          <w:bCs/>
          <w:szCs w:val="24"/>
        </w:rPr>
        <w:t xml:space="preserve">3. </w:t>
      </w:r>
      <w:r w:rsidRPr="000F2EAC">
        <w:rPr>
          <w:b/>
          <w:bCs/>
          <w:szCs w:val="24"/>
        </w:rPr>
        <w:t>Kokios siūlomos naujos teisinio reguliavimo nuostatos ir kokių rezultatų laukiama.</w:t>
      </w:r>
    </w:p>
    <w:p w14:paraId="5E1850EF" w14:textId="68CEF262" w:rsidR="007C58C1" w:rsidRDefault="00E04B58" w:rsidP="00C14DC1">
      <w:pPr>
        <w:spacing w:after="240"/>
        <w:ind w:firstLine="709"/>
        <w:jc w:val="both"/>
        <w:rPr>
          <w:rFonts w:eastAsia="Calibri"/>
          <w:szCs w:val="24"/>
        </w:rPr>
      </w:pPr>
      <w:r>
        <w:rPr>
          <w:rFonts w:eastAsia="SimSun"/>
          <w:bCs/>
          <w:szCs w:val="24"/>
        </w:rPr>
        <w:t>L</w:t>
      </w:r>
      <w:r w:rsidRPr="004E6C78">
        <w:rPr>
          <w:rFonts w:eastAsia="SimSun"/>
          <w:bCs/>
          <w:szCs w:val="24"/>
        </w:rPr>
        <w:t xml:space="preserve">ietuvos </w:t>
      </w:r>
      <w:r>
        <w:rPr>
          <w:rFonts w:eastAsia="SimSun"/>
          <w:bCs/>
          <w:szCs w:val="24"/>
        </w:rPr>
        <w:t>R</w:t>
      </w:r>
      <w:r w:rsidRPr="004E6C78">
        <w:rPr>
          <w:rFonts w:eastAsia="SimSun"/>
          <w:bCs/>
          <w:szCs w:val="24"/>
        </w:rPr>
        <w:t xml:space="preserve">espublikos 2022 metų valstybės biudžeto lėšų, skirtų </w:t>
      </w:r>
      <w:r>
        <w:rPr>
          <w:rFonts w:eastAsia="SimSun"/>
          <w:bCs/>
          <w:szCs w:val="24"/>
        </w:rPr>
        <w:t>P</w:t>
      </w:r>
      <w:r w:rsidRPr="004E6C78">
        <w:rPr>
          <w:rFonts w:eastAsia="SimSun"/>
          <w:bCs/>
          <w:szCs w:val="24"/>
        </w:rPr>
        <w:t xml:space="preserve">asvalio rajono savivaldybės bendrojo ugdymo mokyklų tinklo stiprinimo iniciatyvoms skatinti, naudojimo tvarkos </w:t>
      </w:r>
      <w:r>
        <w:rPr>
          <w:szCs w:val="24"/>
        </w:rPr>
        <w:t>a</w:t>
      </w:r>
      <w:r w:rsidR="007C58C1">
        <w:rPr>
          <w:szCs w:val="24"/>
        </w:rPr>
        <w:t xml:space="preserve">prašas </w:t>
      </w:r>
      <w:r w:rsidR="007C58C1" w:rsidRPr="007C58C1">
        <w:rPr>
          <w:szCs w:val="24"/>
        </w:rPr>
        <w:t xml:space="preserve">reglamentuoja </w:t>
      </w:r>
      <w:r w:rsidR="007C58C1" w:rsidRPr="007C58C1">
        <w:rPr>
          <w:rFonts w:eastAsia="Calibri"/>
          <w:szCs w:val="24"/>
        </w:rPr>
        <w:t>valstybės biudžeto lėšų, skirtų</w:t>
      </w:r>
      <w:r w:rsidR="007C58C1" w:rsidRPr="007C58C1">
        <w:rPr>
          <w:szCs w:val="24"/>
        </w:rPr>
        <w:t xml:space="preserve"> Pasvalio rajono savivaldybei </w:t>
      </w:r>
      <w:r w:rsidR="007C58C1" w:rsidRPr="007C58C1">
        <w:rPr>
          <w:rFonts w:eastAsia="SimSun"/>
          <w:szCs w:val="24"/>
        </w:rPr>
        <w:t>bendrojo ugdymo mokyklų tinklų stiprinimo iniciatyvoms skatinti, naudojimo paskirtį ir tvarką.</w:t>
      </w:r>
      <w:r w:rsidR="007C58C1" w:rsidRPr="007C58C1">
        <w:rPr>
          <w:rFonts w:eastAsia="Calibri"/>
          <w:szCs w:val="24"/>
        </w:rPr>
        <w:t xml:space="preserve">  </w:t>
      </w:r>
    </w:p>
    <w:p w14:paraId="65E5DB8E" w14:textId="5F85C982" w:rsidR="00195894" w:rsidRDefault="00E04B58" w:rsidP="00195894">
      <w:pPr>
        <w:ind w:firstLine="709"/>
        <w:jc w:val="both"/>
        <w:rPr>
          <w:szCs w:val="24"/>
          <w:lang w:eastAsia="lt-LT"/>
        </w:rPr>
      </w:pPr>
      <w:r>
        <w:rPr>
          <w:rFonts w:eastAsia="Calibri"/>
          <w:szCs w:val="24"/>
        </w:rPr>
        <w:t>Vadovaujantis Aprašu</w:t>
      </w:r>
      <w:r w:rsidR="008F47AC">
        <w:rPr>
          <w:rFonts w:eastAsia="Calibri"/>
          <w:szCs w:val="24"/>
        </w:rPr>
        <w:t>,</w:t>
      </w:r>
      <w:r>
        <w:rPr>
          <w:rFonts w:eastAsia="Calibri"/>
          <w:szCs w:val="24"/>
        </w:rPr>
        <w:t xml:space="preserve"> lėšos gali būti naudojamos</w:t>
      </w:r>
      <w:r w:rsidR="00195894">
        <w:rPr>
          <w:rFonts w:eastAsia="Calibri"/>
          <w:szCs w:val="24"/>
        </w:rPr>
        <w:t xml:space="preserve"> </w:t>
      </w:r>
      <w:r w:rsidR="00195894" w:rsidRPr="00195894">
        <w:rPr>
          <w:rFonts w:eastAsia="Calibri"/>
          <w:szCs w:val="24"/>
        </w:rPr>
        <w:t>mokinių pavėžėjimui užtikrinti (transporto priemonėms įsigyti ar nuomoti, jų eksploatavimo išlaidoms, kitoms pavėžėjimo formoms ir išlaidoms)</w:t>
      </w:r>
      <w:r w:rsidR="00195894">
        <w:rPr>
          <w:rFonts w:eastAsia="Calibri"/>
          <w:szCs w:val="24"/>
        </w:rPr>
        <w:t>. Patenkinus pavėžėjimo reikmes –</w:t>
      </w:r>
      <w:r w:rsidR="00195894" w:rsidRPr="00195894">
        <w:rPr>
          <w:rFonts w:eastAsia="Calibri"/>
          <w:szCs w:val="24"/>
        </w:rPr>
        <w:t xml:space="preserve"> ugdymo reikmėms, nurodytoms </w:t>
      </w:r>
      <w:r w:rsidR="00195894" w:rsidRPr="00195894">
        <w:rPr>
          <w:szCs w:val="24"/>
          <w:lang w:eastAsia="lt-LT"/>
        </w:rPr>
        <w:t xml:space="preserve">Mokymo lėšų apskaičiavimo, paskirstymo ir panaudojimo tvarkos aprašo, patvirtinto Lietuvos Respublikos Vyriausybės </w:t>
      </w:r>
      <w:r w:rsidR="00195894" w:rsidRPr="00195894">
        <w:rPr>
          <w:lang w:eastAsia="lt-LT"/>
        </w:rPr>
        <w:t xml:space="preserve">2018 m. liepos 11 d. nutarimu Nr. 679 „Dėl </w:t>
      </w:r>
      <w:r w:rsidR="00195894" w:rsidRPr="00195894">
        <w:rPr>
          <w:szCs w:val="24"/>
          <w:lang w:eastAsia="lt-LT"/>
        </w:rPr>
        <w:t>Mokymo lėšų apskaičiavimo, paskirstymo ir panaudojimo tvarkos aprašo patvirtinimo“, 12.7 papunktyje</w:t>
      </w:r>
      <w:r w:rsidR="00195894">
        <w:rPr>
          <w:szCs w:val="24"/>
          <w:lang w:eastAsia="lt-LT"/>
        </w:rPr>
        <w:t>:</w:t>
      </w:r>
    </w:p>
    <w:p w14:paraId="3E24C4A8" w14:textId="77777777" w:rsidR="00195894" w:rsidRDefault="00C14DC1" w:rsidP="00195894">
      <w:pPr>
        <w:ind w:right="-1" w:firstLine="720"/>
        <w:jc w:val="both"/>
        <w:rPr>
          <w:color w:val="000000"/>
          <w:szCs w:val="24"/>
          <w:lang w:eastAsia="lt-LT"/>
        </w:rPr>
      </w:pPr>
      <w:r>
        <w:rPr>
          <w:color w:val="000000"/>
          <w:szCs w:val="24"/>
          <w:bdr w:val="none" w:sz="0" w:space="0" w:color="auto" w:frame="1"/>
          <w:lang w:eastAsia="lt-LT"/>
        </w:rPr>
        <w:t>,,</w:t>
      </w:r>
      <w:r w:rsidR="00195894">
        <w:rPr>
          <w:color w:val="000000"/>
          <w:szCs w:val="24"/>
          <w:bdr w:val="none" w:sz="0" w:space="0" w:color="auto" w:frame="1"/>
          <w:lang w:eastAsia="lt-LT"/>
        </w:rPr>
        <w:t>12.7. ugdymo finansavimo poreikių skirtumams tarp mokyklų sumažinti:</w:t>
      </w:r>
    </w:p>
    <w:p w14:paraId="2399345B" w14:textId="77777777" w:rsidR="00195894" w:rsidRDefault="00195894" w:rsidP="00195894">
      <w:pPr>
        <w:ind w:right="-1" w:firstLine="720"/>
        <w:jc w:val="both"/>
        <w:rPr>
          <w:color w:val="000000"/>
          <w:szCs w:val="24"/>
          <w:lang w:eastAsia="lt-LT"/>
        </w:rPr>
      </w:pPr>
      <w:r>
        <w:rPr>
          <w:color w:val="000000"/>
          <w:szCs w:val="24"/>
          <w:bdr w:val="none" w:sz="0" w:space="0" w:color="auto" w:frame="1"/>
          <w:lang w:eastAsia="lt-LT"/>
        </w:rPr>
        <w:t>12.7.1. pedagoginių darbuotojų darbo užmokesčiui (įskaitant pareiginės algos pastoviosios dalies koeficientų padidinimą dėl veiklos sudėtingumo), ikimokyklinio, priešmokyklinio ir bendrojo ugdymo kokybei ir prieinamumui užtikrinti (tarp jų ir mokyti namuose), ikimokyklinio ir priešmokyklinio ugdymo formų įvairovei diegti;</w:t>
      </w:r>
    </w:p>
    <w:p w14:paraId="477A39EF" w14:textId="77777777" w:rsidR="00195894" w:rsidRDefault="00195894" w:rsidP="00195894">
      <w:pPr>
        <w:ind w:right="-1" w:firstLine="720"/>
        <w:jc w:val="both"/>
        <w:rPr>
          <w:color w:val="000000"/>
          <w:szCs w:val="24"/>
          <w:lang w:eastAsia="lt-LT"/>
        </w:rPr>
      </w:pPr>
      <w:r>
        <w:rPr>
          <w:color w:val="000000"/>
          <w:szCs w:val="24"/>
          <w:bdr w:val="none" w:sz="0" w:space="0" w:color="auto" w:frame="1"/>
          <w:lang w:eastAsia="lt-LT"/>
        </w:rPr>
        <w:t>12.7.2. finansuoti užsienio kalbų mokymuisi laikinosiose grupėse, mažesnėse už numatytąsias švietimo, mokslo ir sporto ministro tvirtinamuose pradinio, pagrindinio ir vidurinio ugdymo programų bendruosiuose ugdymo planuose;</w:t>
      </w:r>
    </w:p>
    <w:p w14:paraId="370D6C7A" w14:textId="77777777" w:rsidR="00E04B58" w:rsidRPr="00C14DC1" w:rsidRDefault="00195894" w:rsidP="00C14DC1">
      <w:pPr>
        <w:spacing w:after="240"/>
        <w:ind w:right="-1" w:firstLine="720"/>
        <w:jc w:val="both"/>
        <w:rPr>
          <w:szCs w:val="24"/>
          <w:lang w:eastAsia="lt-LT"/>
        </w:rPr>
      </w:pPr>
      <w:r>
        <w:rPr>
          <w:color w:val="000000"/>
          <w:szCs w:val="24"/>
          <w:bdr w:val="none" w:sz="0" w:space="0" w:color="auto" w:frame="1"/>
          <w:lang w:eastAsia="lt-LT"/>
        </w:rPr>
        <w:t>12.7.3. finansuoti priemonėms, skirtoms mokinių iš nepalankios socialinės, ekonominės ir kultūrinės aplinkos mokymosi skirtumams sumažinti.</w:t>
      </w:r>
      <w:r w:rsidR="00C14DC1">
        <w:t>“</w:t>
      </w:r>
    </w:p>
    <w:p w14:paraId="19075851" w14:textId="5D2432F3" w:rsidR="00C30595" w:rsidRPr="00EF36F3" w:rsidRDefault="00C30595" w:rsidP="007C58C1">
      <w:pPr>
        <w:ind w:firstLine="709"/>
        <w:jc w:val="both"/>
        <w:rPr>
          <w:rFonts w:eastAsia="Calibri"/>
          <w:szCs w:val="24"/>
        </w:rPr>
      </w:pPr>
      <w:bookmarkStart w:id="5" w:name="_Hlk102636428"/>
      <w:r w:rsidRPr="00EF36F3">
        <w:rPr>
          <w:rFonts w:eastAsia="Calibri"/>
          <w:szCs w:val="24"/>
        </w:rPr>
        <w:t xml:space="preserve">Su Aprašo </w:t>
      </w:r>
      <w:r w:rsidR="006113BA" w:rsidRPr="00EF36F3">
        <w:rPr>
          <w:rFonts w:eastAsia="Calibri"/>
          <w:szCs w:val="24"/>
        </w:rPr>
        <w:t xml:space="preserve">projektas </w:t>
      </w:r>
      <w:r w:rsidRPr="00EF36F3">
        <w:rPr>
          <w:rFonts w:eastAsia="Calibri"/>
          <w:szCs w:val="24"/>
        </w:rPr>
        <w:t>svarstytas Lietuvos mokyklų vadovų asociacijos Pasvalio skyriuje</w:t>
      </w:r>
      <w:r w:rsidR="006113BA" w:rsidRPr="00EF36F3">
        <w:rPr>
          <w:rFonts w:eastAsia="Calibri"/>
          <w:szCs w:val="24"/>
        </w:rPr>
        <w:t>. Projektui iš esmės pritarta, pasiūlymų ir pastabų negauta</w:t>
      </w:r>
      <w:r w:rsidR="00EF36F3">
        <w:rPr>
          <w:rFonts w:eastAsia="Calibri"/>
          <w:szCs w:val="24"/>
        </w:rPr>
        <w:t>.</w:t>
      </w:r>
      <w:r w:rsidR="006113BA" w:rsidRPr="00EF36F3">
        <w:rPr>
          <w:rFonts w:eastAsia="Calibri"/>
          <w:szCs w:val="24"/>
        </w:rPr>
        <w:t xml:space="preserve"> </w:t>
      </w:r>
    </w:p>
    <w:bookmarkEnd w:id="5"/>
    <w:p w14:paraId="49D3E6A7" w14:textId="77777777" w:rsidR="00EF039F" w:rsidRDefault="00EF039F" w:rsidP="00EF039F">
      <w:pPr>
        <w:ind w:firstLine="720"/>
        <w:jc w:val="both"/>
      </w:pPr>
      <w:r>
        <w:rPr>
          <w:b/>
        </w:rPr>
        <w:t xml:space="preserve">4. </w:t>
      </w:r>
      <w:r w:rsidRPr="004C1024">
        <w:rPr>
          <w:b/>
        </w:rPr>
        <w:t>Skaičiavimai, išlaidų sąmatos, finansavimo šaltiniai</w:t>
      </w:r>
      <w:r w:rsidRPr="004C1024">
        <w:t>.</w:t>
      </w:r>
    </w:p>
    <w:p w14:paraId="61447C98" w14:textId="77777777" w:rsidR="00CB1838" w:rsidRDefault="00AE3E70" w:rsidP="00EE428A">
      <w:pPr>
        <w:overflowPunct w:val="0"/>
        <w:ind w:firstLine="709"/>
        <w:jc w:val="both"/>
        <w:textAlignment w:val="baseline"/>
        <w:rPr>
          <w:szCs w:val="24"/>
        </w:rPr>
      </w:pPr>
      <w:r>
        <w:rPr>
          <w:rFonts w:eastAsia="SimSun"/>
          <w:szCs w:val="24"/>
        </w:rPr>
        <w:t xml:space="preserve">Finansavimo šaltinis – </w:t>
      </w:r>
      <w:r w:rsidR="00CB1838" w:rsidRPr="006565F0">
        <w:rPr>
          <w:rFonts w:eastAsia="SimSun"/>
          <w:szCs w:val="24"/>
        </w:rPr>
        <w:t>Lietuvos Respublikos 2022 metų Valstybės biudžeto lėš</w:t>
      </w:r>
      <w:r w:rsidR="00CB1838">
        <w:rPr>
          <w:rFonts w:eastAsia="SimSun"/>
          <w:szCs w:val="24"/>
        </w:rPr>
        <w:t>os</w:t>
      </w:r>
      <w:r w:rsidR="00CB1838" w:rsidRPr="006565F0">
        <w:rPr>
          <w:rFonts w:eastAsia="SimSun"/>
          <w:szCs w:val="24"/>
        </w:rPr>
        <w:t>, skirt</w:t>
      </w:r>
      <w:r w:rsidR="00CB1838">
        <w:rPr>
          <w:rFonts w:eastAsia="SimSun"/>
          <w:szCs w:val="24"/>
        </w:rPr>
        <w:t>os</w:t>
      </w:r>
      <w:r w:rsidR="00CB1838" w:rsidRPr="006565F0">
        <w:rPr>
          <w:rFonts w:eastAsia="SimSun"/>
          <w:szCs w:val="24"/>
        </w:rPr>
        <w:t xml:space="preserve"> savivaldybių bendrojo ugdymo mokyklų tinklo stiprinimo iniciatyvoms skatinti</w:t>
      </w:r>
      <w:r w:rsidR="00CB1838">
        <w:rPr>
          <w:rFonts w:eastAsia="SimSun"/>
          <w:szCs w:val="24"/>
        </w:rPr>
        <w:t>.</w:t>
      </w:r>
      <w:r>
        <w:rPr>
          <w:rFonts w:eastAsia="SimSun"/>
          <w:szCs w:val="24"/>
        </w:rPr>
        <w:t xml:space="preserve"> Lėšos savivaldybėms skiriamos Lietuvos Respublikos švietimo, mokslo ir sporto ministro įsakymu.</w:t>
      </w:r>
    </w:p>
    <w:p w14:paraId="1B6CAA96" w14:textId="77777777" w:rsidR="00CB1838" w:rsidRDefault="00AE3E70" w:rsidP="00EE428A">
      <w:pPr>
        <w:overflowPunct w:val="0"/>
        <w:ind w:firstLine="709"/>
        <w:jc w:val="both"/>
        <w:textAlignment w:val="baseline"/>
        <w:rPr>
          <w:szCs w:val="24"/>
        </w:rPr>
      </w:pPr>
      <w:r>
        <w:rPr>
          <w:szCs w:val="24"/>
        </w:rPr>
        <w:t xml:space="preserve">Lietuvos Respublikos švietimo, mokslo ir sporto ministro 2022 m. kovo </w:t>
      </w:r>
      <w:r w:rsidRPr="000B7B24">
        <w:rPr>
          <w:szCs w:val="24"/>
        </w:rPr>
        <w:t>17</w:t>
      </w:r>
      <w:r>
        <w:rPr>
          <w:szCs w:val="24"/>
        </w:rPr>
        <w:t xml:space="preserve"> d. įsakymu Nr. V-405 </w:t>
      </w:r>
      <w:r w:rsidRPr="000B7B24">
        <w:rPr>
          <w:szCs w:val="24"/>
        </w:rPr>
        <w:t>,,</w:t>
      </w:r>
      <w:r>
        <w:rPr>
          <w:szCs w:val="24"/>
        </w:rPr>
        <w:t>D</w:t>
      </w:r>
      <w:r w:rsidRPr="000B7B24">
        <w:rPr>
          <w:szCs w:val="24"/>
        </w:rPr>
        <w:t xml:space="preserve">ėl </w:t>
      </w:r>
      <w:r>
        <w:rPr>
          <w:szCs w:val="24"/>
        </w:rPr>
        <w:t>L</w:t>
      </w:r>
      <w:r w:rsidRPr="000B7B24">
        <w:rPr>
          <w:szCs w:val="24"/>
        </w:rPr>
        <w:t xml:space="preserve">ietuvos </w:t>
      </w:r>
      <w:r>
        <w:rPr>
          <w:szCs w:val="24"/>
        </w:rPr>
        <w:t>R</w:t>
      </w:r>
      <w:r w:rsidRPr="000B7B24">
        <w:rPr>
          <w:szCs w:val="24"/>
        </w:rPr>
        <w:t xml:space="preserve">espublikos 2022 metų valstybės biudžeto lėšų, skirtų savivaldybių </w:t>
      </w:r>
      <w:r w:rsidRPr="000B7B24">
        <w:rPr>
          <w:rFonts w:eastAsia="Calibri"/>
          <w:szCs w:val="24"/>
          <w:lang w:eastAsia="lt-LT"/>
        </w:rPr>
        <w:t>bendrojo ugdymo mokyklų tinklo stiprinimo iniciatyvoms skatinti</w:t>
      </w:r>
      <w:r w:rsidRPr="000B7B24">
        <w:rPr>
          <w:caps/>
          <w:szCs w:val="24"/>
        </w:rPr>
        <w:t xml:space="preserve">, </w:t>
      </w:r>
      <w:r w:rsidRPr="000B7B24">
        <w:rPr>
          <w:szCs w:val="24"/>
        </w:rPr>
        <w:t>paskirstymo pagal savivaldybes patvirtinimo</w:t>
      </w:r>
      <w:r>
        <w:rPr>
          <w:szCs w:val="24"/>
        </w:rPr>
        <w:t xml:space="preserve">“, Pasvalio rajono savivaldybei pervesta </w:t>
      </w:r>
      <w:r>
        <w:rPr>
          <w:color w:val="000000"/>
          <w:szCs w:val="24"/>
          <w:lang w:eastAsia="lt-LT"/>
        </w:rPr>
        <w:t>18 641 Eur. Tai sudaro apie 20 proc. galimų skirti lėšų. Likusi dalis</w:t>
      </w:r>
      <w:r w:rsidR="00916D44">
        <w:rPr>
          <w:color w:val="000000"/>
          <w:szCs w:val="24"/>
          <w:lang w:eastAsia="lt-LT"/>
        </w:rPr>
        <w:t xml:space="preserve">, apskaičiuota pagal </w:t>
      </w:r>
      <w:r w:rsidR="00916D44" w:rsidRPr="006565F0">
        <w:rPr>
          <w:rFonts w:eastAsia="SimSun"/>
          <w:szCs w:val="24"/>
        </w:rPr>
        <w:t xml:space="preserve">Lietuvos Respublikos 2022 metų valstybės biudžeto lėšų, skirtų savivaldybių bendrojo ugdymo mokyklų tinklų stiprinimo iniciatyvoms skatinti, paskirstymo tvarkos aprašo </w:t>
      </w:r>
      <w:r w:rsidR="00916D44">
        <w:rPr>
          <w:rFonts w:eastAsia="SimSun"/>
          <w:szCs w:val="24"/>
        </w:rPr>
        <w:t xml:space="preserve">nuostatas, </w:t>
      </w:r>
      <w:r>
        <w:rPr>
          <w:color w:val="000000"/>
          <w:szCs w:val="24"/>
          <w:lang w:eastAsia="lt-LT"/>
        </w:rPr>
        <w:t xml:space="preserve">– iki spalio 15 d. </w:t>
      </w:r>
    </w:p>
    <w:p w14:paraId="32D90E64" w14:textId="77777777" w:rsidR="000B7B24" w:rsidRDefault="00E04B58" w:rsidP="00E04B58">
      <w:pPr>
        <w:overflowPunct w:val="0"/>
        <w:ind w:firstLine="709"/>
        <w:jc w:val="both"/>
        <w:textAlignment w:val="baseline"/>
        <w:rPr>
          <w:szCs w:val="24"/>
        </w:rPr>
      </w:pPr>
      <w:r>
        <w:rPr>
          <w:color w:val="000000"/>
          <w:szCs w:val="24"/>
          <w:lang w:eastAsia="lt-LT"/>
        </w:rPr>
        <w:t xml:space="preserve">Metams pasibaigus, iki kitų metų sausio 5 d. savivaldybės atitinkamiems metams skirtas ir nepanaudotas valstybės biudžeto lėšas, grąžina į </w:t>
      </w:r>
      <w:r>
        <w:rPr>
          <w:rFonts w:eastAsia="Calibri"/>
          <w:szCs w:val="24"/>
        </w:rPr>
        <w:t>Švietimo, mokslo ir sporto ministerijos sąskaitą.</w:t>
      </w:r>
    </w:p>
    <w:p w14:paraId="4C09DA42" w14:textId="77777777" w:rsidR="00387708" w:rsidRDefault="00EF039F" w:rsidP="00786D35">
      <w:pPr>
        <w:spacing w:line="276" w:lineRule="auto"/>
        <w:ind w:firstLine="731"/>
        <w:jc w:val="both"/>
        <w:rPr>
          <w:b/>
          <w:bCs/>
          <w:szCs w:val="24"/>
        </w:rPr>
      </w:pPr>
      <w:r>
        <w:rPr>
          <w:b/>
          <w:bCs/>
          <w:szCs w:val="24"/>
        </w:rPr>
        <w:t xml:space="preserve">5.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r w:rsidR="00786D35">
        <w:rPr>
          <w:b/>
          <w:bCs/>
          <w:szCs w:val="24"/>
        </w:rPr>
        <w:t xml:space="preserve">            </w:t>
      </w:r>
    </w:p>
    <w:p w14:paraId="3106FE34" w14:textId="77777777" w:rsidR="00EF039F" w:rsidRPr="00786D35" w:rsidRDefault="00EF039F" w:rsidP="00786D35">
      <w:pPr>
        <w:spacing w:line="276" w:lineRule="auto"/>
        <w:ind w:firstLine="731"/>
        <w:jc w:val="both"/>
        <w:rPr>
          <w:b/>
          <w:bCs/>
          <w:szCs w:val="24"/>
        </w:rPr>
      </w:pPr>
      <w:r w:rsidRPr="00EF039F">
        <w:rPr>
          <w:szCs w:val="24"/>
        </w:rPr>
        <w:t>Nėra.</w:t>
      </w:r>
    </w:p>
    <w:p w14:paraId="7452DDC4" w14:textId="77777777" w:rsidR="002F0857" w:rsidRDefault="00EF039F" w:rsidP="00786D35">
      <w:pPr>
        <w:spacing w:line="276" w:lineRule="auto"/>
        <w:ind w:firstLine="731"/>
        <w:jc w:val="both"/>
        <w:rPr>
          <w:b/>
          <w:bCs/>
          <w:szCs w:val="24"/>
        </w:rPr>
      </w:pPr>
      <w:r>
        <w:rPr>
          <w:b/>
          <w:bCs/>
          <w:szCs w:val="24"/>
        </w:rPr>
        <w:t>6. Jeigu sprendimui įgyvendinti reikia įgyvendinamųjų teisės aktų, – kas ir kada juos turėtų priimti.</w:t>
      </w:r>
      <w:r w:rsidR="00786D35">
        <w:rPr>
          <w:b/>
          <w:bCs/>
          <w:szCs w:val="24"/>
        </w:rPr>
        <w:t xml:space="preserve">           </w:t>
      </w:r>
    </w:p>
    <w:p w14:paraId="2A128FFB" w14:textId="77777777" w:rsidR="00EF039F" w:rsidRPr="00786D35" w:rsidRDefault="00EF039F" w:rsidP="00786D35">
      <w:pPr>
        <w:spacing w:line="276" w:lineRule="auto"/>
        <w:ind w:firstLine="731"/>
        <w:jc w:val="both"/>
        <w:rPr>
          <w:b/>
          <w:bCs/>
          <w:szCs w:val="24"/>
        </w:rPr>
      </w:pPr>
      <w:r>
        <w:rPr>
          <w:szCs w:val="24"/>
        </w:rPr>
        <w:t>Nėra.</w:t>
      </w:r>
    </w:p>
    <w:p w14:paraId="252A59B1" w14:textId="77777777" w:rsidR="00EF039F" w:rsidRDefault="00EF039F" w:rsidP="00EF039F">
      <w:pPr>
        <w:spacing w:line="276" w:lineRule="auto"/>
        <w:ind w:firstLine="731"/>
        <w:rPr>
          <w:b/>
          <w:bCs/>
          <w:szCs w:val="24"/>
        </w:rPr>
      </w:pPr>
      <w:r>
        <w:rPr>
          <w:b/>
          <w:bCs/>
          <w:szCs w:val="24"/>
        </w:rPr>
        <w:t>7. Sprendimo projekto antikorupcinis vertinimas.</w:t>
      </w:r>
    </w:p>
    <w:p w14:paraId="64BF960B" w14:textId="22FD99CC" w:rsidR="00EF039F" w:rsidRPr="005B3546" w:rsidRDefault="00EF039F" w:rsidP="00EF039F">
      <w:pPr>
        <w:spacing w:line="276" w:lineRule="auto"/>
        <w:ind w:firstLine="731"/>
        <w:rPr>
          <w:szCs w:val="24"/>
        </w:rPr>
      </w:pPr>
      <w:r w:rsidRPr="005C490F">
        <w:rPr>
          <w:szCs w:val="24"/>
        </w:rPr>
        <w:t xml:space="preserve">Antikorupcinio vertinimo </w:t>
      </w:r>
      <w:r w:rsidRPr="006113BA">
        <w:rPr>
          <w:szCs w:val="24"/>
        </w:rPr>
        <w:t>pažyma 2022-0</w:t>
      </w:r>
      <w:r w:rsidR="00DC6A0E" w:rsidRPr="006113BA">
        <w:rPr>
          <w:szCs w:val="24"/>
        </w:rPr>
        <w:t>5</w:t>
      </w:r>
      <w:r w:rsidRPr="006113BA">
        <w:rPr>
          <w:szCs w:val="24"/>
        </w:rPr>
        <w:t>-</w:t>
      </w:r>
      <w:r w:rsidR="0056413D" w:rsidRPr="006113BA">
        <w:rPr>
          <w:szCs w:val="24"/>
        </w:rPr>
        <w:t>05</w:t>
      </w:r>
      <w:r w:rsidR="005C490F" w:rsidRPr="006113BA">
        <w:rPr>
          <w:szCs w:val="24"/>
        </w:rPr>
        <w:t xml:space="preserve"> </w:t>
      </w:r>
      <w:r w:rsidRPr="006113BA">
        <w:rPr>
          <w:szCs w:val="24"/>
        </w:rPr>
        <w:t>Nr.</w:t>
      </w:r>
      <w:r w:rsidR="006C43A0" w:rsidRPr="006113BA">
        <w:rPr>
          <w:szCs w:val="24"/>
        </w:rPr>
        <w:t xml:space="preserve"> </w:t>
      </w:r>
      <w:r w:rsidR="001A5CF7" w:rsidRPr="006113BA">
        <w:rPr>
          <w:szCs w:val="24"/>
        </w:rPr>
        <w:t>AP-</w:t>
      </w:r>
      <w:r w:rsidR="0056413D" w:rsidRPr="006113BA">
        <w:rPr>
          <w:szCs w:val="24"/>
        </w:rPr>
        <w:t>41</w:t>
      </w:r>
      <w:r w:rsidR="00DC6A0E" w:rsidRPr="006113BA">
        <w:rPr>
          <w:szCs w:val="24"/>
        </w:rPr>
        <w:t xml:space="preserve"> </w:t>
      </w:r>
      <w:r w:rsidRPr="006113BA">
        <w:rPr>
          <w:szCs w:val="24"/>
        </w:rPr>
        <w:t>.</w:t>
      </w:r>
    </w:p>
    <w:p w14:paraId="24EC0D6C" w14:textId="77777777" w:rsidR="00EF039F" w:rsidRDefault="00EF039F" w:rsidP="00EF039F">
      <w:pPr>
        <w:spacing w:line="276" w:lineRule="auto"/>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3765E128" w14:textId="0A6FCCF6" w:rsidR="00E51759" w:rsidRDefault="00EF039F" w:rsidP="00763C00">
      <w:pPr>
        <w:spacing w:line="276" w:lineRule="auto"/>
        <w:ind w:firstLine="720"/>
        <w:jc w:val="both"/>
        <w:rPr>
          <w:szCs w:val="24"/>
        </w:rPr>
      </w:pPr>
      <w:r>
        <w:rPr>
          <w:bCs/>
          <w:szCs w:val="24"/>
        </w:rPr>
        <w:t>Švietimo ir sporto skyrius. Švietimo ir sporto skyriaus vedėjas.</w:t>
      </w:r>
      <w:r w:rsidR="00E51759">
        <w:rPr>
          <w:szCs w:val="24"/>
        </w:rPr>
        <w:tab/>
      </w:r>
    </w:p>
    <w:p w14:paraId="5A7B8AF4" w14:textId="7E16A113" w:rsidR="003269D5" w:rsidRDefault="00E51759" w:rsidP="00E51759">
      <w:pPr>
        <w:ind w:firstLine="720"/>
        <w:jc w:val="both"/>
        <w:rPr>
          <w:szCs w:val="24"/>
        </w:rPr>
      </w:pPr>
      <w:r>
        <w:rPr>
          <w:szCs w:val="24"/>
        </w:rPr>
        <w:t>PRIDEDAMA</w:t>
      </w:r>
      <w:r w:rsidR="008F47AC">
        <w:rPr>
          <w:szCs w:val="24"/>
        </w:rPr>
        <w:t>:</w:t>
      </w:r>
    </w:p>
    <w:p w14:paraId="508EA129" w14:textId="77777777" w:rsidR="00E51759" w:rsidRDefault="00E51759" w:rsidP="00E51759">
      <w:pPr>
        <w:ind w:firstLine="720"/>
        <w:jc w:val="both"/>
        <w:rPr>
          <w:rFonts w:eastAsia="SimSun"/>
          <w:szCs w:val="24"/>
        </w:rPr>
      </w:pPr>
      <w:r>
        <w:rPr>
          <w:szCs w:val="24"/>
        </w:rPr>
        <w:t xml:space="preserve">1. </w:t>
      </w:r>
      <w:r w:rsidRPr="006565F0">
        <w:rPr>
          <w:rFonts w:eastAsia="SimSun"/>
          <w:szCs w:val="24"/>
        </w:rPr>
        <w:t>Lietuvos Respublikos švietimo, mokslo ir sporto ministro 2022 m. kovo 2 d. įsakym</w:t>
      </w:r>
      <w:r>
        <w:rPr>
          <w:rFonts w:eastAsia="SimSun"/>
          <w:szCs w:val="24"/>
        </w:rPr>
        <w:t>as</w:t>
      </w:r>
      <w:r w:rsidRPr="006565F0">
        <w:rPr>
          <w:rFonts w:eastAsia="SimSun"/>
          <w:szCs w:val="24"/>
        </w:rPr>
        <w:t xml:space="preserve"> Nr. V-342 „Dėl Lietuvos Respublikos 2022 metų valstybės biudžeto lėšų, skirtų savivaldybių bendrojo ugdymo mokyklų tinklų stiprinimo iniciatyvoms skatinti, paskirstymo tvarkos aprašo patvirtinimo“</w:t>
      </w:r>
      <w:r>
        <w:rPr>
          <w:rFonts w:eastAsia="SimSun"/>
          <w:szCs w:val="24"/>
        </w:rPr>
        <w:t>.</w:t>
      </w:r>
    </w:p>
    <w:p w14:paraId="0AC978AA" w14:textId="77777777" w:rsidR="00E51759" w:rsidRDefault="00E51759" w:rsidP="00E51759">
      <w:pPr>
        <w:ind w:firstLine="720"/>
        <w:jc w:val="both"/>
        <w:rPr>
          <w:szCs w:val="24"/>
        </w:rPr>
      </w:pPr>
      <w:r>
        <w:rPr>
          <w:szCs w:val="24"/>
        </w:rPr>
        <w:t xml:space="preserve">2. Lietuvos Respublikos švietimo, mokslo ir sporto ministro 2022 m. kovo </w:t>
      </w:r>
      <w:r w:rsidRPr="000B7B24">
        <w:rPr>
          <w:szCs w:val="24"/>
        </w:rPr>
        <w:t>17</w:t>
      </w:r>
      <w:r>
        <w:rPr>
          <w:szCs w:val="24"/>
        </w:rPr>
        <w:t xml:space="preserve"> d. įsakymas Nr. V-405 </w:t>
      </w:r>
      <w:r w:rsidRPr="000B7B24">
        <w:rPr>
          <w:szCs w:val="24"/>
        </w:rPr>
        <w:t>,,</w:t>
      </w:r>
      <w:r>
        <w:rPr>
          <w:szCs w:val="24"/>
        </w:rPr>
        <w:t>D</w:t>
      </w:r>
      <w:r w:rsidRPr="000B7B24">
        <w:rPr>
          <w:szCs w:val="24"/>
        </w:rPr>
        <w:t xml:space="preserve">ėl </w:t>
      </w:r>
      <w:r>
        <w:rPr>
          <w:szCs w:val="24"/>
        </w:rPr>
        <w:t>L</w:t>
      </w:r>
      <w:r w:rsidRPr="000B7B24">
        <w:rPr>
          <w:szCs w:val="24"/>
        </w:rPr>
        <w:t xml:space="preserve">ietuvos </w:t>
      </w:r>
      <w:r>
        <w:rPr>
          <w:szCs w:val="24"/>
        </w:rPr>
        <w:t>R</w:t>
      </w:r>
      <w:r w:rsidRPr="000B7B24">
        <w:rPr>
          <w:szCs w:val="24"/>
        </w:rPr>
        <w:t xml:space="preserve">espublikos 2022 metų valstybės biudžeto lėšų, skirtų savivaldybių </w:t>
      </w:r>
      <w:r w:rsidRPr="000B7B24">
        <w:rPr>
          <w:rFonts w:eastAsia="Calibri"/>
          <w:szCs w:val="24"/>
          <w:lang w:eastAsia="lt-LT"/>
        </w:rPr>
        <w:t>bendrojo ugdymo mokyklų tinklo stiprinimo iniciatyvoms skatinti</w:t>
      </w:r>
      <w:r w:rsidRPr="000B7B24">
        <w:rPr>
          <w:caps/>
          <w:szCs w:val="24"/>
        </w:rPr>
        <w:t xml:space="preserve">, </w:t>
      </w:r>
      <w:r w:rsidRPr="000B7B24">
        <w:rPr>
          <w:szCs w:val="24"/>
        </w:rPr>
        <w:t>paskirstymo pagal savivaldybes patvirtinimo</w:t>
      </w:r>
      <w:r>
        <w:rPr>
          <w:szCs w:val="24"/>
        </w:rPr>
        <w:t>“.</w:t>
      </w:r>
    </w:p>
    <w:p w14:paraId="6E26D245" w14:textId="77777777" w:rsidR="0067077B" w:rsidRDefault="00E51759" w:rsidP="00E51759">
      <w:pPr>
        <w:ind w:firstLine="720"/>
        <w:jc w:val="both"/>
        <w:rPr>
          <w:szCs w:val="24"/>
        </w:rPr>
      </w:pPr>
      <w:r>
        <w:rPr>
          <w:szCs w:val="24"/>
        </w:rPr>
        <w:t xml:space="preserve">3. </w:t>
      </w:r>
      <w:r w:rsidRPr="00195894">
        <w:rPr>
          <w:szCs w:val="24"/>
          <w:lang w:eastAsia="lt-LT"/>
        </w:rPr>
        <w:t>Mokymo lėšų apskaičiavimo, paskirstymo ir panaudojimo tvarkos apraš</w:t>
      </w:r>
      <w:r>
        <w:rPr>
          <w:szCs w:val="24"/>
          <w:lang w:eastAsia="lt-LT"/>
        </w:rPr>
        <w:t>as (aktuali redakcija).</w:t>
      </w:r>
      <w:r w:rsidRPr="00195894">
        <w:rPr>
          <w:szCs w:val="24"/>
          <w:lang w:eastAsia="lt-LT"/>
        </w:rPr>
        <w:t xml:space="preserve"> </w:t>
      </w:r>
    </w:p>
    <w:p w14:paraId="625D89F7" w14:textId="77777777" w:rsidR="0067077B" w:rsidRDefault="0067077B" w:rsidP="003269D5">
      <w:pPr>
        <w:jc w:val="both"/>
        <w:rPr>
          <w:szCs w:val="24"/>
        </w:rPr>
      </w:pPr>
    </w:p>
    <w:p w14:paraId="3982ADF6" w14:textId="77777777" w:rsidR="0067077B" w:rsidRDefault="0067077B" w:rsidP="003269D5">
      <w:pPr>
        <w:jc w:val="both"/>
        <w:rPr>
          <w:szCs w:val="24"/>
        </w:rPr>
      </w:pPr>
    </w:p>
    <w:p w14:paraId="6558790D" w14:textId="77777777" w:rsidR="003269D5" w:rsidRDefault="003269D5" w:rsidP="003269D5">
      <w:pPr>
        <w:jc w:val="both"/>
        <w:rPr>
          <w:szCs w:val="24"/>
        </w:rPr>
      </w:pPr>
      <w:r>
        <w:rPr>
          <w:szCs w:val="24"/>
        </w:rPr>
        <w:t>Švietimo ir sporto skyriaus</w:t>
      </w:r>
      <w:r>
        <w:rPr>
          <w:szCs w:val="24"/>
        </w:rPr>
        <w:tab/>
      </w:r>
      <w:r>
        <w:rPr>
          <w:szCs w:val="24"/>
        </w:rPr>
        <w:tab/>
      </w:r>
      <w:r>
        <w:rPr>
          <w:szCs w:val="24"/>
        </w:rPr>
        <w:tab/>
      </w:r>
      <w:r>
        <w:rPr>
          <w:szCs w:val="24"/>
        </w:rPr>
        <w:tab/>
      </w:r>
      <w:r>
        <w:rPr>
          <w:szCs w:val="24"/>
        </w:rPr>
        <w:tab/>
      </w:r>
      <w:r>
        <w:rPr>
          <w:szCs w:val="24"/>
        </w:rPr>
        <w:tab/>
        <w:t>Virginija Bajoriūnaitė</w:t>
      </w:r>
    </w:p>
    <w:p w14:paraId="0E28DAE4" w14:textId="77777777" w:rsidR="00931E2E" w:rsidRPr="00931E2E" w:rsidRDefault="003269D5" w:rsidP="003269D5">
      <w:pPr>
        <w:rPr>
          <w:b/>
          <w:color w:val="FF0000"/>
          <w:szCs w:val="24"/>
        </w:rPr>
      </w:pPr>
      <w:r>
        <w:rPr>
          <w:szCs w:val="24"/>
        </w:rPr>
        <w:t>vyriausioji specialistė</w:t>
      </w:r>
      <w:r>
        <w:rPr>
          <w:szCs w:val="24"/>
        </w:rPr>
        <w:tab/>
      </w:r>
      <w:r>
        <w:rPr>
          <w:szCs w:val="24"/>
        </w:rPr>
        <w:tab/>
      </w:r>
    </w:p>
    <w:p w14:paraId="50621746" w14:textId="77777777" w:rsidR="00B33DAF" w:rsidRDefault="00B33DAF" w:rsidP="00931E2E">
      <w:pPr>
        <w:rPr>
          <w:sz w:val="20"/>
        </w:rPr>
        <w:sectPr w:rsidR="00B33DAF" w:rsidSect="005546E5">
          <w:headerReference w:type="first" r:id="rId7"/>
          <w:type w:val="continuous"/>
          <w:pgSz w:w="11906" w:h="16838" w:code="9"/>
          <w:pgMar w:top="993" w:right="567" w:bottom="426" w:left="1701" w:header="964" w:footer="567" w:gutter="0"/>
          <w:cols w:space="1296"/>
          <w:formProt w:val="0"/>
        </w:sectPr>
      </w:pPr>
    </w:p>
    <w:p w14:paraId="5E23A5FB" w14:textId="77777777" w:rsidR="00D55A25" w:rsidRDefault="00D55A25">
      <w:pPr>
        <w:rPr>
          <w:b/>
        </w:rPr>
      </w:pPr>
      <w:r>
        <w:rPr>
          <w:b/>
        </w:rPr>
        <w:br w:type="page"/>
      </w:r>
    </w:p>
    <w:p w14:paraId="18A367F3" w14:textId="77777777" w:rsidR="0027758E" w:rsidRDefault="00C14DC1" w:rsidP="00973F3F">
      <w:pPr>
        <w:ind w:left="5760"/>
        <w:rPr>
          <w:rFonts w:eastAsia="Calibri"/>
          <w:szCs w:val="24"/>
        </w:rPr>
      </w:pPr>
      <w:r>
        <w:rPr>
          <w:rFonts w:eastAsia="Calibri"/>
          <w:szCs w:val="24"/>
        </w:rPr>
        <w:t>PATVIRTINTA</w:t>
      </w:r>
    </w:p>
    <w:p w14:paraId="4FD79FFB" w14:textId="77777777" w:rsidR="00C14DC1" w:rsidRDefault="00C14DC1" w:rsidP="00973F3F">
      <w:pPr>
        <w:ind w:left="5760"/>
        <w:rPr>
          <w:rFonts w:eastAsia="Calibri"/>
          <w:szCs w:val="24"/>
        </w:rPr>
      </w:pPr>
      <w:r>
        <w:rPr>
          <w:rFonts w:eastAsia="Calibri"/>
          <w:szCs w:val="24"/>
        </w:rPr>
        <w:t>Pasvalio rajono savivaldybės tarybos</w:t>
      </w:r>
    </w:p>
    <w:p w14:paraId="1E213DB2" w14:textId="77777777" w:rsidR="00C14DC1" w:rsidRDefault="00C14DC1" w:rsidP="00973F3F">
      <w:pPr>
        <w:ind w:left="5760"/>
        <w:rPr>
          <w:szCs w:val="24"/>
        </w:rPr>
      </w:pPr>
      <w:r>
        <w:rPr>
          <w:rFonts w:eastAsia="Calibri"/>
          <w:szCs w:val="24"/>
        </w:rPr>
        <w:t>2022 m. gegužės    d. sprendimu Nr. T1-</w:t>
      </w:r>
    </w:p>
    <w:p w14:paraId="7C48A383" w14:textId="77777777" w:rsidR="00C14DC1" w:rsidRDefault="00C14DC1" w:rsidP="00C14DC1">
      <w:pPr>
        <w:rPr>
          <w:b/>
        </w:rPr>
      </w:pPr>
    </w:p>
    <w:p w14:paraId="09B5CE3B" w14:textId="77777777" w:rsidR="00C14DC1" w:rsidRDefault="00C14DC1" w:rsidP="00C14DC1">
      <w:pPr>
        <w:rPr>
          <w:b/>
        </w:rPr>
      </w:pPr>
    </w:p>
    <w:p w14:paraId="1EB567CE" w14:textId="77777777" w:rsidR="00C14DC1" w:rsidRDefault="00C14DC1" w:rsidP="00C14DC1">
      <w:pPr>
        <w:jc w:val="center"/>
        <w:rPr>
          <w:rFonts w:eastAsia="SimSun"/>
          <w:b/>
          <w:szCs w:val="24"/>
        </w:rPr>
      </w:pPr>
      <w:r w:rsidRPr="003A7B13">
        <w:rPr>
          <w:rFonts w:eastAsia="SimSun"/>
          <w:b/>
          <w:szCs w:val="24"/>
        </w:rPr>
        <w:t xml:space="preserve">LIETUVOS RESPUBLIKOS 2022 METŲ VALSTYBĖS BIUDŽETO LĖŠŲ, SKIRTŲ </w:t>
      </w:r>
      <w:r>
        <w:rPr>
          <w:rFonts w:eastAsia="SimSun"/>
          <w:b/>
          <w:szCs w:val="24"/>
        </w:rPr>
        <w:t>PASVALIO RAJONO</w:t>
      </w:r>
      <w:r w:rsidRPr="003A7B13">
        <w:rPr>
          <w:rFonts w:eastAsia="SimSun"/>
          <w:b/>
          <w:szCs w:val="24"/>
        </w:rPr>
        <w:t xml:space="preserve"> SAVIVALDYBĖS BENDROJO UGDYMO MOKYKLŲ TINKLO STIPRINIMO INICIATYVOMS SKATINTI, NAUDOJIMO TVARKOS APRAŠ</w:t>
      </w:r>
      <w:r>
        <w:rPr>
          <w:rFonts w:eastAsia="SimSun"/>
          <w:b/>
          <w:szCs w:val="24"/>
        </w:rPr>
        <w:t>AS</w:t>
      </w:r>
    </w:p>
    <w:p w14:paraId="305C106B" w14:textId="77777777" w:rsidR="00C14DC1" w:rsidRDefault="00C14DC1" w:rsidP="00C14DC1">
      <w:pPr>
        <w:jc w:val="center"/>
        <w:rPr>
          <w:rFonts w:eastAsia="SimSun"/>
          <w:b/>
          <w:szCs w:val="24"/>
        </w:rPr>
      </w:pPr>
    </w:p>
    <w:p w14:paraId="56EEB6C1" w14:textId="77777777" w:rsidR="00C14DC1" w:rsidRPr="00C14DC1" w:rsidRDefault="00C14DC1" w:rsidP="00C14DC1">
      <w:pPr>
        <w:jc w:val="center"/>
        <w:rPr>
          <w:rFonts w:eastAsia="SimSun"/>
          <w:b/>
          <w:bCs/>
          <w:szCs w:val="24"/>
        </w:rPr>
      </w:pPr>
      <w:r w:rsidRPr="00C14DC1">
        <w:rPr>
          <w:rFonts w:eastAsia="SimSun"/>
          <w:b/>
          <w:bCs/>
          <w:szCs w:val="24"/>
        </w:rPr>
        <w:t>I SKYRIUS</w:t>
      </w:r>
    </w:p>
    <w:p w14:paraId="1EE5FACF" w14:textId="77777777" w:rsidR="00C14DC1" w:rsidRPr="00C14DC1" w:rsidRDefault="00C14DC1" w:rsidP="00C14DC1">
      <w:pPr>
        <w:jc w:val="center"/>
        <w:rPr>
          <w:rFonts w:eastAsia="SimSun"/>
          <w:b/>
          <w:bCs/>
          <w:szCs w:val="24"/>
        </w:rPr>
      </w:pPr>
      <w:r w:rsidRPr="00C14DC1">
        <w:rPr>
          <w:rFonts w:eastAsia="SimSun"/>
          <w:b/>
          <w:bCs/>
          <w:szCs w:val="24"/>
        </w:rPr>
        <w:t>BENDROSIOS NUOSTATOS</w:t>
      </w:r>
    </w:p>
    <w:p w14:paraId="77D391DD" w14:textId="77777777" w:rsidR="00C14DC1" w:rsidRPr="00C14DC1" w:rsidRDefault="00C14DC1" w:rsidP="00C14DC1">
      <w:pPr>
        <w:jc w:val="center"/>
        <w:rPr>
          <w:rFonts w:eastAsia="SimSun"/>
          <w:b/>
          <w:bCs/>
          <w:szCs w:val="24"/>
        </w:rPr>
      </w:pPr>
    </w:p>
    <w:p w14:paraId="0A8FD41C" w14:textId="23C5EDD8" w:rsidR="008D63C4" w:rsidRDefault="00C14DC1" w:rsidP="00E51759">
      <w:pPr>
        <w:ind w:firstLine="709"/>
        <w:jc w:val="both"/>
        <w:rPr>
          <w:rFonts w:eastAsia="SimSun"/>
          <w:szCs w:val="24"/>
        </w:rPr>
      </w:pPr>
      <w:r w:rsidRPr="00C14DC1">
        <w:rPr>
          <w:rFonts w:eastAsia="SimSun"/>
          <w:szCs w:val="24"/>
        </w:rPr>
        <w:t>1. Lietuvos Respublikos 2022 metų valstybės biudžeto lėšų</w:t>
      </w:r>
      <w:r w:rsidR="00864B08">
        <w:rPr>
          <w:rFonts w:eastAsia="SimSun"/>
          <w:szCs w:val="24"/>
        </w:rPr>
        <w:t xml:space="preserve"> (toliau – </w:t>
      </w:r>
      <w:r w:rsidR="00E52D96">
        <w:rPr>
          <w:rFonts w:eastAsia="SimSun"/>
          <w:szCs w:val="24"/>
        </w:rPr>
        <w:t>Valstybės biudžeto l</w:t>
      </w:r>
      <w:r w:rsidR="00864B08">
        <w:rPr>
          <w:rFonts w:eastAsia="SimSun"/>
          <w:szCs w:val="24"/>
        </w:rPr>
        <w:t>ėšos)</w:t>
      </w:r>
      <w:r w:rsidRPr="00C14DC1">
        <w:rPr>
          <w:rFonts w:eastAsia="SimSun"/>
          <w:szCs w:val="24"/>
        </w:rPr>
        <w:t xml:space="preserve">, skirtų </w:t>
      </w:r>
      <w:r>
        <w:rPr>
          <w:rFonts w:eastAsia="SimSun"/>
          <w:szCs w:val="24"/>
        </w:rPr>
        <w:t>Pasvalio rajono</w:t>
      </w:r>
      <w:r w:rsidRPr="00C14DC1">
        <w:rPr>
          <w:rFonts w:eastAsia="SimSun"/>
          <w:szCs w:val="24"/>
        </w:rPr>
        <w:t xml:space="preserve"> savivaldybės bendrojo ugdymo mokyklų tinklo stiprinimo iniciatyvoms skatinti, naudojimo tvarkos aprašas (toliau</w:t>
      </w:r>
      <w:r>
        <w:rPr>
          <w:rFonts w:eastAsia="SimSun"/>
          <w:szCs w:val="24"/>
        </w:rPr>
        <w:t xml:space="preserve"> </w:t>
      </w:r>
      <w:r w:rsidRPr="00C14DC1">
        <w:rPr>
          <w:rFonts w:eastAsia="SimSun"/>
          <w:szCs w:val="24"/>
        </w:rPr>
        <w:t xml:space="preserve">– Aprašas) reglamentuoja </w:t>
      </w:r>
      <w:r>
        <w:rPr>
          <w:rFonts w:eastAsia="SimSun"/>
          <w:szCs w:val="24"/>
        </w:rPr>
        <w:t>Pasvalio rajono</w:t>
      </w:r>
      <w:r w:rsidRPr="00C14DC1">
        <w:rPr>
          <w:rFonts w:eastAsia="SimSun"/>
          <w:szCs w:val="24"/>
        </w:rPr>
        <w:t xml:space="preserve"> savivaldybei </w:t>
      </w:r>
      <w:r w:rsidR="008D63C4">
        <w:rPr>
          <w:rFonts w:eastAsia="SimSun"/>
          <w:szCs w:val="24"/>
        </w:rPr>
        <w:t>(toliau – Savivaldybė) skirtų V</w:t>
      </w:r>
      <w:r w:rsidRPr="00C14DC1">
        <w:rPr>
          <w:rFonts w:eastAsia="SimSun"/>
          <w:szCs w:val="24"/>
        </w:rPr>
        <w:t xml:space="preserve">alstybės biudžeto lėšų naudojimo tvarką. </w:t>
      </w:r>
    </w:p>
    <w:p w14:paraId="4AC8DD5C" w14:textId="3001C1B3" w:rsidR="00C14DC1" w:rsidRPr="00C14DC1" w:rsidRDefault="008D63C4" w:rsidP="00E51759">
      <w:pPr>
        <w:ind w:firstLine="709"/>
        <w:jc w:val="both"/>
        <w:rPr>
          <w:rFonts w:eastAsia="SimSun"/>
          <w:szCs w:val="24"/>
        </w:rPr>
      </w:pPr>
      <w:r>
        <w:rPr>
          <w:rFonts w:eastAsia="SimSun"/>
          <w:szCs w:val="24"/>
        </w:rPr>
        <w:t xml:space="preserve">2. </w:t>
      </w:r>
      <w:r w:rsidR="00C14DC1" w:rsidRPr="00C14DC1">
        <w:rPr>
          <w:rFonts w:eastAsia="SimSun"/>
          <w:szCs w:val="24"/>
        </w:rPr>
        <w:t xml:space="preserve">Šis Aprašas taikomas </w:t>
      </w:r>
      <w:r>
        <w:rPr>
          <w:rFonts w:eastAsia="SimSun"/>
          <w:szCs w:val="24"/>
        </w:rPr>
        <w:t>S</w:t>
      </w:r>
      <w:r w:rsidR="00C14DC1" w:rsidRPr="00C14DC1">
        <w:rPr>
          <w:rFonts w:eastAsia="SimSun"/>
          <w:szCs w:val="24"/>
        </w:rPr>
        <w:t xml:space="preserve">avivaldybės bendrąjį ugdymą teikiančioms mokykloms (toliau – Mokyklos) ir </w:t>
      </w:r>
      <w:r>
        <w:rPr>
          <w:rFonts w:eastAsia="SimSun"/>
          <w:szCs w:val="24"/>
        </w:rPr>
        <w:t>S</w:t>
      </w:r>
      <w:r w:rsidR="00C14DC1" w:rsidRPr="00C14DC1">
        <w:rPr>
          <w:rFonts w:eastAsia="SimSun"/>
          <w:szCs w:val="24"/>
        </w:rPr>
        <w:t>avivaldybės administracijai.</w:t>
      </w:r>
    </w:p>
    <w:p w14:paraId="4DD1B824" w14:textId="3E89ABA4" w:rsidR="00FB7ACE" w:rsidRPr="00ED2F30" w:rsidRDefault="006113BA" w:rsidP="006113BA">
      <w:pPr>
        <w:ind w:firstLine="709"/>
        <w:jc w:val="both"/>
        <w:rPr>
          <w:rFonts w:eastAsia="Calibri"/>
          <w:b/>
          <w:bCs/>
          <w:szCs w:val="24"/>
        </w:rPr>
      </w:pPr>
      <w:r w:rsidRPr="00B65384">
        <w:rPr>
          <w:rFonts w:eastAsia="Calibri"/>
          <w:szCs w:val="24"/>
        </w:rPr>
        <w:t>3</w:t>
      </w:r>
      <w:r w:rsidR="00FB7ACE" w:rsidRPr="00B65384">
        <w:rPr>
          <w:rFonts w:eastAsia="Calibri"/>
          <w:szCs w:val="24"/>
        </w:rPr>
        <w:t xml:space="preserve">. </w:t>
      </w:r>
      <w:r w:rsidR="00FB7ACE" w:rsidRPr="00B65384">
        <w:rPr>
          <w:szCs w:val="24"/>
        </w:rPr>
        <w:t xml:space="preserve">Valstybės biudžeto </w:t>
      </w:r>
      <w:r w:rsidR="00FB7ACE" w:rsidRPr="00B65384">
        <w:rPr>
          <w:rFonts w:eastAsia="Calibri"/>
          <w:szCs w:val="24"/>
        </w:rPr>
        <w:t>lėš</w:t>
      </w:r>
      <w:r w:rsidR="008D63C4" w:rsidRPr="00B65384">
        <w:rPr>
          <w:rFonts w:eastAsia="Calibri"/>
          <w:szCs w:val="24"/>
        </w:rPr>
        <w:t>o</w:t>
      </w:r>
      <w:r w:rsidR="00FB7ACE" w:rsidRPr="00B65384">
        <w:rPr>
          <w:rFonts w:eastAsia="Calibri"/>
          <w:szCs w:val="24"/>
        </w:rPr>
        <w:t xml:space="preserve">s </w:t>
      </w:r>
      <w:r w:rsidR="008D63C4" w:rsidRPr="00B65384">
        <w:rPr>
          <w:rFonts w:eastAsia="Calibri"/>
          <w:szCs w:val="24"/>
        </w:rPr>
        <w:t>pa</w:t>
      </w:r>
      <w:r w:rsidR="00FB7ACE" w:rsidRPr="00B65384">
        <w:rPr>
          <w:rFonts w:eastAsia="Calibri"/>
          <w:szCs w:val="24"/>
        </w:rPr>
        <w:t>skir</w:t>
      </w:r>
      <w:r w:rsidR="008D63C4" w:rsidRPr="00B65384">
        <w:rPr>
          <w:rFonts w:eastAsia="Calibri"/>
          <w:szCs w:val="24"/>
        </w:rPr>
        <w:t>tos</w:t>
      </w:r>
      <w:r w:rsidR="00FB7ACE" w:rsidRPr="00B65384">
        <w:rPr>
          <w:rFonts w:eastAsia="Calibri"/>
          <w:szCs w:val="24"/>
        </w:rPr>
        <w:t xml:space="preserve"> </w:t>
      </w:r>
      <w:r w:rsidR="008D63C4" w:rsidRPr="00B65384">
        <w:rPr>
          <w:rFonts w:eastAsia="Calibri"/>
          <w:szCs w:val="24"/>
        </w:rPr>
        <w:t xml:space="preserve">Savivaldybei </w:t>
      </w:r>
      <w:r w:rsidR="00FB7ACE" w:rsidRPr="00B65384">
        <w:rPr>
          <w:rFonts w:eastAsia="Calibri"/>
          <w:szCs w:val="24"/>
        </w:rPr>
        <w:t xml:space="preserve">Lietuvos Respublikos švietimo, mokslo ir sporto </w:t>
      </w:r>
      <w:r w:rsidR="008D63C4" w:rsidRPr="00B65384">
        <w:rPr>
          <w:rFonts w:eastAsia="Calibri"/>
          <w:szCs w:val="24"/>
        </w:rPr>
        <w:t>ministerijos</w:t>
      </w:r>
      <w:r w:rsidR="00FB7ACE" w:rsidRPr="00B65384">
        <w:rPr>
          <w:rFonts w:eastAsia="Calibri"/>
          <w:szCs w:val="24"/>
        </w:rPr>
        <w:t xml:space="preserve"> </w:t>
      </w:r>
      <w:r w:rsidR="00FB7ACE" w:rsidRPr="00B65384">
        <w:rPr>
          <w:rFonts w:eastAsia="Calibri"/>
          <w:szCs w:val="24"/>
          <w:lang w:eastAsia="ar-SA"/>
        </w:rPr>
        <w:t xml:space="preserve">Savivaldybės mokykloms paskirstomos </w:t>
      </w:r>
      <w:r w:rsidR="00ED2F30" w:rsidRPr="00B65384">
        <w:rPr>
          <w:rFonts w:eastAsia="Calibri"/>
          <w:b/>
          <w:bCs/>
          <w:szCs w:val="24"/>
          <w:lang w:eastAsia="ar-SA"/>
        </w:rPr>
        <w:t>Savivaldybės tarybos sprendimu.</w:t>
      </w:r>
    </w:p>
    <w:p w14:paraId="01921A98" w14:textId="0C2C95F6" w:rsidR="00FB7ACE" w:rsidRDefault="006113BA" w:rsidP="006113BA">
      <w:pPr>
        <w:ind w:firstLine="709"/>
        <w:jc w:val="both"/>
        <w:rPr>
          <w:rFonts w:eastAsia="Calibri"/>
          <w:strike/>
          <w:szCs w:val="24"/>
        </w:rPr>
      </w:pPr>
      <w:r>
        <w:rPr>
          <w:rFonts w:eastAsia="Calibri"/>
          <w:szCs w:val="24"/>
          <w:lang w:eastAsia="lt-LT"/>
        </w:rPr>
        <w:t>4</w:t>
      </w:r>
      <w:r w:rsidR="00FB7ACE">
        <w:rPr>
          <w:rFonts w:eastAsia="Calibri"/>
          <w:szCs w:val="24"/>
          <w:lang w:eastAsia="lt-LT"/>
        </w:rPr>
        <w:t xml:space="preserve">. Apraše </w:t>
      </w:r>
      <w:r w:rsidR="00FC354B">
        <w:rPr>
          <w:rFonts w:eastAsia="Calibri"/>
          <w:szCs w:val="24"/>
          <w:lang w:eastAsia="lt-LT"/>
        </w:rPr>
        <w:t>vartojamos</w:t>
      </w:r>
      <w:r w:rsidR="00FB7ACE">
        <w:rPr>
          <w:rFonts w:eastAsia="Calibri"/>
          <w:szCs w:val="24"/>
          <w:lang w:eastAsia="lt-LT"/>
        </w:rPr>
        <w:t xml:space="preserve"> Lietuvos Respublikos švietimo įstatyme bei kituose teisės aktuose apibrėžtos sąvokos.</w:t>
      </w:r>
    </w:p>
    <w:p w14:paraId="093BAB98" w14:textId="77777777" w:rsidR="003A37D1" w:rsidRPr="00C14DC1" w:rsidRDefault="003A37D1" w:rsidP="00C14DC1">
      <w:pPr>
        <w:jc w:val="both"/>
        <w:rPr>
          <w:rFonts w:eastAsia="SimSun"/>
          <w:szCs w:val="24"/>
        </w:rPr>
      </w:pPr>
    </w:p>
    <w:p w14:paraId="513296D9" w14:textId="77777777" w:rsidR="00C14DC1" w:rsidRPr="00C14DC1" w:rsidRDefault="00C14DC1" w:rsidP="00C14DC1">
      <w:pPr>
        <w:jc w:val="center"/>
        <w:rPr>
          <w:rFonts w:eastAsia="SimSun"/>
          <w:b/>
          <w:bCs/>
          <w:szCs w:val="24"/>
        </w:rPr>
      </w:pPr>
      <w:r w:rsidRPr="00C14DC1">
        <w:rPr>
          <w:rFonts w:eastAsia="SimSun"/>
          <w:b/>
          <w:bCs/>
          <w:szCs w:val="24"/>
        </w:rPr>
        <w:t>II SKYRIUS</w:t>
      </w:r>
    </w:p>
    <w:p w14:paraId="1CD1D841" w14:textId="77777777" w:rsidR="00C14DC1" w:rsidRPr="00C14DC1" w:rsidRDefault="00C14DC1" w:rsidP="00C14DC1">
      <w:pPr>
        <w:jc w:val="center"/>
        <w:rPr>
          <w:rFonts w:eastAsia="SimSun"/>
          <w:b/>
          <w:bCs/>
          <w:szCs w:val="24"/>
        </w:rPr>
      </w:pPr>
      <w:r w:rsidRPr="00C14DC1">
        <w:rPr>
          <w:rFonts w:eastAsia="SimSun"/>
          <w:b/>
          <w:bCs/>
          <w:szCs w:val="24"/>
        </w:rPr>
        <w:t>LĖŠŲ</w:t>
      </w:r>
      <w:r w:rsidR="00EB6F3A">
        <w:rPr>
          <w:rFonts w:eastAsia="SimSun"/>
          <w:b/>
          <w:bCs/>
          <w:szCs w:val="24"/>
        </w:rPr>
        <w:t xml:space="preserve"> </w:t>
      </w:r>
      <w:r w:rsidRPr="00C14DC1">
        <w:rPr>
          <w:rFonts w:eastAsia="SimSun"/>
          <w:b/>
          <w:bCs/>
          <w:szCs w:val="24"/>
        </w:rPr>
        <w:t>PASKIRSTYMAS IR NAUDOJIMAS</w:t>
      </w:r>
    </w:p>
    <w:p w14:paraId="3961EBCA" w14:textId="77777777" w:rsidR="00C14DC1" w:rsidRPr="00C14DC1" w:rsidRDefault="00C14DC1" w:rsidP="00C14DC1">
      <w:pPr>
        <w:jc w:val="center"/>
        <w:rPr>
          <w:rFonts w:eastAsia="SimSun"/>
          <w:b/>
          <w:bCs/>
          <w:szCs w:val="24"/>
        </w:rPr>
      </w:pPr>
    </w:p>
    <w:p w14:paraId="7C9F645E" w14:textId="641CEFFD" w:rsidR="00C14DC1" w:rsidRPr="00C14DC1" w:rsidRDefault="006113BA" w:rsidP="00E51759">
      <w:pPr>
        <w:ind w:firstLine="709"/>
        <w:jc w:val="both"/>
        <w:rPr>
          <w:rFonts w:eastAsia="SimSun"/>
          <w:szCs w:val="24"/>
        </w:rPr>
      </w:pPr>
      <w:r>
        <w:rPr>
          <w:rFonts w:eastAsia="SimSun"/>
          <w:szCs w:val="24"/>
        </w:rPr>
        <w:t>5</w:t>
      </w:r>
      <w:r w:rsidR="00C14DC1" w:rsidRPr="00C14DC1">
        <w:rPr>
          <w:rFonts w:eastAsia="SimSun"/>
          <w:szCs w:val="24"/>
        </w:rPr>
        <w:t xml:space="preserve">. </w:t>
      </w:r>
      <w:r w:rsidR="00E52D96">
        <w:rPr>
          <w:rFonts w:eastAsia="SimSun"/>
          <w:szCs w:val="24"/>
        </w:rPr>
        <w:t>Valstybės biudžeto lėšos</w:t>
      </w:r>
      <w:r w:rsidR="00C14DC1" w:rsidRPr="00C14DC1">
        <w:rPr>
          <w:rFonts w:eastAsia="SimSun"/>
          <w:szCs w:val="24"/>
        </w:rPr>
        <w:t xml:space="preserve"> </w:t>
      </w:r>
      <w:r w:rsidR="00864B08">
        <w:rPr>
          <w:rFonts w:eastAsia="SimSun"/>
          <w:szCs w:val="24"/>
        </w:rPr>
        <w:t>skiriamos</w:t>
      </w:r>
      <w:r w:rsidR="00C14DC1" w:rsidRPr="00C14DC1">
        <w:rPr>
          <w:rFonts w:eastAsia="SimSun"/>
          <w:szCs w:val="24"/>
        </w:rPr>
        <w:t>:</w:t>
      </w:r>
    </w:p>
    <w:p w14:paraId="09DA6F00" w14:textId="50C0A267" w:rsidR="00FB7ACE" w:rsidRDefault="006113BA" w:rsidP="00E51759">
      <w:pPr>
        <w:ind w:firstLine="709"/>
        <w:jc w:val="both"/>
        <w:rPr>
          <w:rFonts w:eastAsia="SimSun"/>
          <w:szCs w:val="24"/>
        </w:rPr>
      </w:pPr>
      <w:r>
        <w:rPr>
          <w:rFonts w:eastAsia="SimSun"/>
          <w:szCs w:val="24"/>
        </w:rPr>
        <w:t>5</w:t>
      </w:r>
      <w:r w:rsidR="00C14DC1" w:rsidRPr="00C14DC1">
        <w:rPr>
          <w:rFonts w:eastAsia="SimSun"/>
          <w:szCs w:val="24"/>
        </w:rPr>
        <w:t xml:space="preserve">.1. </w:t>
      </w:r>
      <w:r w:rsidR="008D63C4">
        <w:rPr>
          <w:rFonts w:eastAsia="SimSun"/>
          <w:szCs w:val="24"/>
        </w:rPr>
        <w:t>S</w:t>
      </w:r>
      <w:r w:rsidR="00C14DC1" w:rsidRPr="00C14DC1">
        <w:rPr>
          <w:rFonts w:eastAsia="SimSun"/>
          <w:szCs w:val="24"/>
        </w:rPr>
        <w:t xml:space="preserve">avivaldybės mokinių pavėžėjimui </w:t>
      </w:r>
      <w:r w:rsidR="00EB6F3A">
        <w:rPr>
          <w:rFonts w:eastAsia="SimSun"/>
          <w:szCs w:val="24"/>
        </w:rPr>
        <w:t>užtikrinti</w:t>
      </w:r>
      <w:r w:rsidR="00FB7ACE">
        <w:rPr>
          <w:rFonts w:eastAsia="SimSun"/>
          <w:szCs w:val="24"/>
        </w:rPr>
        <w:t>:</w:t>
      </w:r>
    </w:p>
    <w:p w14:paraId="1BE1086D" w14:textId="2320B741" w:rsidR="00FB7ACE" w:rsidRPr="00FB7ACE" w:rsidRDefault="006113BA" w:rsidP="00E51759">
      <w:pPr>
        <w:ind w:firstLine="709"/>
        <w:jc w:val="both"/>
        <w:rPr>
          <w:rFonts w:eastAsia="Calibri"/>
          <w:szCs w:val="24"/>
        </w:rPr>
      </w:pPr>
      <w:r>
        <w:rPr>
          <w:rFonts w:eastAsia="SimSun"/>
          <w:szCs w:val="24"/>
        </w:rPr>
        <w:t>5</w:t>
      </w:r>
      <w:r w:rsidR="00FB7ACE">
        <w:rPr>
          <w:rFonts w:eastAsia="SimSun"/>
          <w:szCs w:val="24"/>
        </w:rPr>
        <w:t>.1</w:t>
      </w:r>
      <w:r w:rsidR="00FB7ACE" w:rsidRPr="00FB7ACE">
        <w:rPr>
          <w:rFonts w:eastAsia="SimSun"/>
          <w:szCs w:val="24"/>
        </w:rPr>
        <w:t>.1.</w:t>
      </w:r>
      <w:r w:rsidR="00FB7ACE" w:rsidRPr="00FB7ACE">
        <w:rPr>
          <w:rFonts w:eastAsia="Calibri"/>
          <w:szCs w:val="24"/>
        </w:rPr>
        <w:t xml:space="preserve"> transporto priemonėms įsigyti ar nuomoti;</w:t>
      </w:r>
    </w:p>
    <w:p w14:paraId="230D04A2" w14:textId="105CCB44" w:rsidR="00FB7ACE" w:rsidRPr="00FB7ACE" w:rsidRDefault="006113BA" w:rsidP="00E51759">
      <w:pPr>
        <w:ind w:firstLine="709"/>
        <w:jc w:val="both"/>
        <w:rPr>
          <w:rFonts w:eastAsia="Calibri"/>
          <w:szCs w:val="24"/>
        </w:rPr>
      </w:pPr>
      <w:r>
        <w:rPr>
          <w:rFonts w:eastAsia="Calibri"/>
          <w:szCs w:val="24"/>
        </w:rPr>
        <w:t>5</w:t>
      </w:r>
      <w:r w:rsidR="00FB7ACE" w:rsidRPr="00FB7ACE">
        <w:rPr>
          <w:rFonts w:eastAsia="Calibri"/>
          <w:szCs w:val="24"/>
        </w:rPr>
        <w:t>.1.2. įsigytų ar nuomojamų transporto priemonių jų eksploatavimo išlaidoms;</w:t>
      </w:r>
    </w:p>
    <w:p w14:paraId="457775D2" w14:textId="28E2A2C8" w:rsidR="00EB6F3A" w:rsidRDefault="006113BA" w:rsidP="00E51759">
      <w:pPr>
        <w:ind w:firstLine="709"/>
        <w:jc w:val="both"/>
        <w:rPr>
          <w:rFonts w:eastAsia="SimSun"/>
          <w:szCs w:val="24"/>
        </w:rPr>
      </w:pPr>
      <w:r>
        <w:rPr>
          <w:rFonts w:eastAsia="Calibri"/>
          <w:szCs w:val="24"/>
        </w:rPr>
        <w:t>5</w:t>
      </w:r>
      <w:r w:rsidR="00FB7ACE" w:rsidRPr="00FB7ACE">
        <w:rPr>
          <w:rFonts w:eastAsia="Calibri"/>
          <w:szCs w:val="24"/>
        </w:rPr>
        <w:t>.1.3. kitoms pavėžėjimo formoms ir išlaidoms.</w:t>
      </w:r>
    </w:p>
    <w:p w14:paraId="12EFD142" w14:textId="74C05FD6" w:rsidR="00EA057D" w:rsidRPr="00FB7ACE" w:rsidRDefault="006113BA" w:rsidP="00E51759">
      <w:pPr>
        <w:ind w:firstLine="720"/>
        <w:jc w:val="both"/>
        <w:rPr>
          <w:szCs w:val="24"/>
          <w:lang w:eastAsia="lt-LT"/>
        </w:rPr>
      </w:pPr>
      <w:r>
        <w:rPr>
          <w:rFonts w:eastAsia="SimSun"/>
          <w:szCs w:val="24"/>
        </w:rPr>
        <w:t>5</w:t>
      </w:r>
      <w:r w:rsidR="00C14DC1" w:rsidRPr="00C14DC1">
        <w:rPr>
          <w:rFonts w:eastAsia="SimSun"/>
          <w:szCs w:val="24"/>
        </w:rPr>
        <w:t xml:space="preserve">.2. patenkinus Aprašo </w:t>
      </w:r>
      <w:r>
        <w:rPr>
          <w:rFonts w:eastAsia="SimSun"/>
          <w:szCs w:val="24"/>
        </w:rPr>
        <w:t>5</w:t>
      </w:r>
      <w:r w:rsidR="00C14DC1" w:rsidRPr="00C14DC1">
        <w:rPr>
          <w:rFonts w:eastAsia="SimSun"/>
          <w:szCs w:val="24"/>
        </w:rPr>
        <w:t xml:space="preserve">.1 papunktyje nurodytą reikmę, </w:t>
      </w:r>
      <w:r w:rsidR="00E52D96">
        <w:rPr>
          <w:rFonts w:eastAsia="SimSun"/>
          <w:szCs w:val="24"/>
        </w:rPr>
        <w:t>Valstybės biudžeto lėšas</w:t>
      </w:r>
      <w:r w:rsidR="00E52D96" w:rsidRPr="00C14DC1">
        <w:rPr>
          <w:rFonts w:eastAsia="SimSun"/>
          <w:szCs w:val="24"/>
        </w:rPr>
        <w:t xml:space="preserve"> </w:t>
      </w:r>
      <w:r w:rsidR="00C14DC1" w:rsidRPr="00C14DC1">
        <w:rPr>
          <w:rFonts w:eastAsia="SimSun"/>
          <w:szCs w:val="24"/>
        </w:rPr>
        <w:t xml:space="preserve">galima naudoti ugdymo reikmėms, nurodytoms </w:t>
      </w:r>
      <w:r w:rsidR="00EA057D" w:rsidRPr="00195894">
        <w:rPr>
          <w:szCs w:val="24"/>
          <w:lang w:eastAsia="lt-LT"/>
        </w:rPr>
        <w:t xml:space="preserve">Mokymo lėšų apskaičiavimo, paskirstymo ir panaudojimo tvarkos aprašo, patvirtinto Lietuvos Respublikos Vyriausybės </w:t>
      </w:r>
      <w:r w:rsidR="00EA057D" w:rsidRPr="00195894">
        <w:rPr>
          <w:lang w:eastAsia="lt-LT"/>
        </w:rPr>
        <w:t xml:space="preserve">2018 m. liepos 11 d. nutarimu Nr. 679 „Dėl </w:t>
      </w:r>
      <w:r w:rsidR="00EA057D" w:rsidRPr="00195894">
        <w:rPr>
          <w:szCs w:val="24"/>
          <w:lang w:eastAsia="lt-LT"/>
        </w:rPr>
        <w:t>Mokymo lėšų apskaičiavimo, paskirstymo ir panaudojimo tvarkos aprašo patvirtinimo“</w:t>
      </w:r>
      <w:r w:rsidR="00EA057D">
        <w:rPr>
          <w:szCs w:val="24"/>
          <w:lang w:eastAsia="lt-LT"/>
        </w:rPr>
        <w:t xml:space="preserve"> (su visais aktualiais pakeitimais)</w:t>
      </w:r>
      <w:r w:rsidR="00EA057D" w:rsidRPr="00195894">
        <w:rPr>
          <w:szCs w:val="24"/>
          <w:lang w:eastAsia="lt-LT"/>
        </w:rPr>
        <w:t xml:space="preserve">, 12.7 </w:t>
      </w:r>
      <w:r w:rsidR="00EA057D" w:rsidRPr="00FB7ACE">
        <w:rPr>
          <w:szCs w:val="24"/>
          <w:lang w:eastAsia="lt-LT"/>
        </w:rPr>
        <w:t>papunktyje</w:t>
      </w:r>
      <w:r w:rsidR="008F47AC">
        <w:rPr>
          <w:szCs w:val="24"/>
          <w:lang w:eastAsia="lt-LT"/>
        </w:rPr>
        <w:t>,</w:t>
      </w:r>
      <w:r w:rsidR="002479E4" w:rsidRPr="00FB7ACE">
        <w:rPr>
          <w:szCs w:val="24"/>
          <w:lang w:eastAsia="lt-LT"/>
        </w:rPr>
        <w:t xml:space="preserve"> siekiant </w:t>
      </w:r>
      <w:r w:rsidR="002479E4" w:rsidRPr="00FB7ACE">
        <w:rPr>
          <w:color w:val="000000"/>
          <w:szCs w:val="24"/>
          <w:bdr w:val="none" w:sz="0" w:space="0" w:color="auto" w:frame="1"/>
          <w:lang w:eastAsia="lt-LT"/>
        </w:rPr>
        <w:t>sumažinti ugdymo finansavimo poreikių skirtumus tarp mokyklų</w:t>
      </w:r>
      <w:r w:rsidR="008C296B" w:rsidRPr="00FB7ACE">
        <w:rPr>
          <w:szCs w:val="24"/>
          <w:lang w:eastAsia="lt-LT"/>
        </w:rPr>
        <w:t>:</w:t>
      </w:r>
    </w:p>
    <w:p w14:paraId="153B8DE5" w14:textId="4BE425E0" w:rsidR="008C296B" w:rsidRPr="00FB7ACE" w:rsidRDefault="006113BA" w:rsidP="008C296B">
      <w:pPr>
        <w:ind w:right="-1" w:firstLine="720"/>
        <w:jc w:val="both"/>
        <w:rPr>
          <w:color w:val="000000"/>
          <w:szCs w:val="24"/>
          <w:lang w:eastAsia="lt-LT"/>
        </w:rPr>
      </w:pPr>
      <w:r>
        <w:rPr>
          <w:color w:val="000000"/>
          <w:szCs w:val="24"/>
          <w:bdr w:val="none" w:sz="0" w:space="0" w:color="auto" w:frame="1"/>
          <w:lang w:eastAsia="lt-LT"/>
        </w:rPr>
        <w:t>5</w:t>
      </w:r>
      <w:r w:rsidR="008C296B" w:rsidRPr="00FB7ACE">
        <w:rPr>
          <w:color w:val="000000"/>
          <w:szCs w:val="24"/>
          <w:bdr w:val="none" w:sz="0" w:space="0" w:color="auto" w:frame="1"/>
          <w:lang w:eastAsia="lt-LT"/>
        </w:rPr>
        <w:t>.2.</w:t>
      </w:r>
      <w:r w:rsidR="002479E4" w:rsidRPr="00FB7ACE">
        <w:rPr>
          <w:color w:val="000000"/>
          <w:szCs w:val="24"/>
          <w:bdr w:val="none" w:sz="0" w:space="0" w:color="auto" w:frame="1"/>
          <w:lang w:eastAsia="lt-LT"/>
        </w:rPr>
        <w:t>1</w:t>
      </w:r>
      <w:r w:rsidR="008C296B" w:rsidRPr="00FB7ACE">
        <w:rPr>
          <w:color w:val="000000"/>
          <w:szCs w:val="24"/>
          <w:bdr w:val="none" w:sz="0" w:space="0" w:color="auto" w:frame="1"/>
          <w:lang w:eastAsia="lt-LT"/>
        </w:rPr>
        <w:t>. pedagoginių darbuotojų darbo užmokesčiui (įskaitant pareiginės algos pastoviosios dalies koeficientų padidinimą dėl veiklos sudėtingumo), ikimokyklinio, priešmokyklinio ir bendrojo ugdymo kokybei ir prieinamumui užtikrinti (tarp jų ir mokyti namuose), ikimokyklinio ir priešmokyklinio ugdymo formų įvairovei diegti;</w:t>
      </w:r>
    </w:p>
    <w:p w14:paraId="28BF5785" w14:textId="7D68D11E" w:rsidR="008C296B" w:rsidRPr="00FB7ACE" w:rsidRDefault="006113BA" w:rsidP="008C296B">
      <w:pPr>
        <w:ind w:right="-1" w:firstLine="720"/>
        <w:jc w:val="both"/>
        <w:rPr>
          <w:color w:val="000000"/>
          <w:szCs w:val="24"/>
          <w:lang w:eastAsia="lt-LT"/>
        </w:rPr>
      </w:pPr>
      <w:r>
        <w:rPr>
          <w:color w:val="000000"/>
          <w:szCs w:val="24"/>
          <w:bdr w:val="none" w:sz="0" w:space="0" w:color="auto" w:frame="1"/>
          <w:lang w:eastAsia="lt-LT"/>
        </w:rPr>
        <w:t>5</w:t>
      </w:r>
      <w:r w:rsidR="008C296B" w:rsidRPr="00FB7ACE">
        <w:rPr>
          <w:color w:val="000000"/>
          <w:szCs w:val="24"/>
          <w:bdr w:val="none" w:sz="0" w:space="0" w:color="auto" w:frame="1"/>
          <w:lang w:eastAsia="lt-LT"/>
        </w:rPr>
        <w:t>.2.</w:t>
      </w:r>
      <w:r w:rsidR="002479E4" w:rsidRPr="00FB7ACE">
        <w:rPr>
          <w:color w:val="000000"/>
          <w:szCs w:val="24"/>
          <w:bdr w:val="none" w:sz="0" w:space="0" w:color="auto" w:frame="1"/>
          <w:lang w:eastAsia="lt-LT"/>
        </w:rPr>
        <w:t>2</w:t>
      </w:r>
      <w:r w:rsidR="008C296B" w:rsidRPr="00FB7ACE">
        <w:rPr>
          <w:color w:val="000000"/>
          <w:szCs w:val="24"/>
          <w:bdr w:val="none" w:sz="0" w:space="0" w:color="auto" w:frame="1"/>
          <w:lang w:eastAsia="lt-LT"/>
        </w:rPr>
        <w:t>. finansuoti užsienio kalbų mokymuisi laikinosiose grupėse, mažesnėse už numatytąsias švietimo, mokslo ir sporto ministro tvirtinamuose pradinio, pagrindinio ir vidurinio ugdymo programų bendruosiuose ugdymo planuose;</w:t>
      </w:r>
    </w:p>
    <w:p w14:paraId="4F8D4E2D" w14:textId="50D67F17" w:rsidR="008C296B" w:rsidRPr="00FB7ACE" w:rsidRDefault="006113BA" w:rsidP="00FB7ACE">
      <w:pPr>
        <w:ind w:right="-1" w:firstLine="720"/>
        <w:jc w:val="both"/>
        <w:rPr>
          <w:szCs w:val="24"/>
          <w:lang w:eastAsia="lt-LT"/>
        </w:rPr>
      </w:pPr>
      <w:r>
        <w:rPr>
          <w:color w:val="000000"/>
          <w:szCs w:val="24"/>
          <w:bdr w:val="none" w:sz="0" w:space="0" w:color="auto" w:frame="1"/>
          <w:lang w:eastAsia="lt-LT"/>
        </w:rPr>
        <w:t>5</w:t>
      </w:r>
      <w:r w:rsidR="008C296B" w:rsidRPr="00FB7ACE">
        <w:rPr>
          <w:color w:val="000000"/>
          <w:szCs w:val="24"/>
          <w:bdr w:val="none" w:sz="0" w:space="0" w:color="auto" w:frame="1"/>
          <w:lang w:eastAsia="lt-LT"/>
        </w:rPr>
        <w:t>.2.</w:t>
      </w:r>
      <w:r w:rsidR="002479E4" w:rsidRPr="00FB7ACE">
        <w:rPr>
          <w:color w:val="000000"/>
          <w:szCs w:val="24"/>
          <w:bdr w:val="none" w:sz="0" w:space="0" w:color="auto" w:frame="1"/>
          <w:lang w:eastAsia="lt-LT"/>
        </w:rPr>
        <w:t>3</w:t>
      </w:r>
      <w:r w:rsidR="008C296B" w:rsidRPr="00FB7ACE">
        <w:rPr>
          <w:color w:val="000000"/>
          <w:szCs w:val="24"/>
          <w:bdr w:val="none" w:sz="0" w:space="0" w:color="auto" w:frame="1"/>
          <w:lang w:eastAsia="lt-LT"/>
        </w:rPr>
        <w:t>. finansuoti priemonėms, skirtoms mokinių iš nepalankios socialinės, ekonominės ir kultūrinės aplinkos mokymosi skirtumams sumažinti.</w:t>
      </w:r>
    </w:p>
    <w:p w14:paraId="7AFCEB69" w14:textId="13E50BDC" w:rsidR="00E63D44" w:rsidRPr="00E52D96" w:rsidRDefault="006113BA" w:rsidP="00AB5692">
      <w:pPr>
        <w:ind w:firstLine="709"/>
        <w:jc w:val="both"/>
        <w:rPr>
          <w:szCs w:val="24"/>
        </w:rPr>
      </w:pPr>
      <w:r>
        <w:rPr>
          <w:szCs w:val="24"/>
          <w:lang w:eastAsia="lt-LT"/>
        </w:rPr>
        <w:t>6</w:t>
      </w:r>
      <w:r w:rsidR="00905191" w:rsidRPr="00E52D96">
        <w:rPr>
          <w:szCs w:val="24"/>
          <w:lang w:eastAsia="lt-LT"/>
        </w:rPr>
        <w:t>. Mokyklos</w:t>
      </w:r>
      <w:r w:rsidR="008C296B" w:rsidRPr="00E52D96">
        <w:rPr>
          <w:szCs w:val="24"/>
          <w:lang w:eastAsia="lt-LT"/>
        </w:rPr>
        <w:t xml:space="preserve">, </w:t>
      </w:r>
      <w:r w:rsidR="00905191" w:rsidRPr="00E52D96">
        <w:rPr>
          <w:szCs w:val="24"/>
          <w:lang w:eastAsia="lt-LT"/>
        </w:rPr>
        <w:t xml:space="preserve">iki einamųjų metų birželio 1 d. </w:t>
      </w:r>
      <w:r w:rsidR="00905191" w:rsidRPr="00E52D96">
        <w:rPr>
          <w:szCs w:val="24"/>
        </w:rPr>
        <w:t xml:space="preserve">Savivaldybės administracijai (Vytauto Didžiojo a. 1, Pasvalys) arba el. p. </w:t>
      </w:r>
      <w:hyperlink r:id="rId8" w:history="1">
        <w:r w:rsidR="00905191" w:rsidRPr="00E52D96">
          <w:rPr>
            <w:rStyle w:val="Hipersaitas"/>
            <w:szCs w:val="24"/>
          </w:rPr>
          <w:t>dokumentai@pasvalys.lt</w:t>
        </w:r>
      </w:hyperlink>
      <w:r w:rsidR="00905191" w:rsidRPr="00E52D96">
        <w:rPr>
          <w:szCs w:val="24"/>
        </w:rPr>
        <w:t>. pateikia</w:t>
      </w:r>
      <w:r w:rsidR="00FB7ACE" w:rsidRPr="00E52D96">
        <w:rPr>
          <w:szCs w:val="24"/>
        </w:rPr>
        <w:t xml:space="preserve"> motyvuotą prašymą</w:t>
      </w:r>
      <w:r w:rsidR="00905191" w:rsidRPr="00E52D96">
        <w:rPr>
          <w:szCs w:val="24"/>
        </w:rPr>
        <w:t xml:space="preserve"> </w:t>
      </w:r>
      <w:r w:rsidR="00E52D96" w:rsidRPr="00E52D96">
        <w:rPr>
          <w:szCs w:val="24"/>
        </w:rPr>
        <w:t>dėl</w:t>
      </w:r>
      <w:r w:rsidR="00FB7ACE" w:rsidRPr="00E52D96">
        <w:rPr>
          <w:szCs w:val="24"/>
        </w:rPr>
        <w:t xml:space="preserve"> </w:t>
      </w:r>
      <w:r w:rsidR="00E52D96">
        <w:rPr>
          <w:rFonts w:eastAsia="SimSun"/>
          <w:szCs w:val="24"/>
        </w:rPr>
        <w:t>Valstybės biudžeto lėšų</w:t>
      </w:r>
      <w:r w:rsidR="00FB7ACE" w:rsidRPr="00E52D96">
        <w:rPr>
          <w:szCs w:val="24"/>
        </w:rPr>
        <w:t xml:space="preserve"> poreikio </w:t>
      </w:r>
      <w:r w:rsidR="00E52D96">
        <w:rPr>
          <w:szCs w:val="24"/>
        </w:rPr>
        <w:t xml:space="preserve">vienai iš </w:t>
      </w:r>
      <w:r w:rsidR="00FB7ACE" w:rsidRPr="00E52D96">
        <w:rPr>
          <w:szCs w:val="24"/>
        </w:rPr>
        <w:t>reik</w:t>
      </w:r>
      <w:r w:rsidR="00E52D96">
        <w:rPr>
          <w:szCs w:val="24"/>
        </w:rPr>
        <w:t>mių,</w:t>
      </w:r>
      <w:r w:rsidR="00FB7ACE" w:rsidRPr="00E52D96">
        <w:rPr>
          <w:szCs w:val="24"/>
        </w:rPr>
        <w:t xml:space="preserve"> nurodyt</w:t>
      </w:r>
      <w:r w:rsidR="00E52D96">
        <w:rPr>
          <w:szCs w:val="24"/>
        </w:rPr>
        <w:t>ų</w:t>
      </w:r>
      <w:r w:rsidR="00FB7ACE" w:rsidRPr="00E52D96">
        <w:rPr>
          <w:szCs w:val="24"/>
        </w:rPr>
        <w:t xml:space="preserve"> </w:t>
      </w:r>
      <w:r w:rsidR="008D63C4">
        <w:rPr>
          <w:szCs w:val="24"/>
        </w:rPr>
        <w:t xml:space="preserve">Aprašo </w:t>
      </w:r>
      <w:r>
        <w:rPr>
          <w:szCs w:val="24"/>
        </w:rPr>
        <w:t>5</w:t>
      </w:r>
      <w:r w:rsidR="00FB7ACE" w:rsidRPr="00E52D96">
        <w:rPr>
          <w:szCs w:val="24"/>
        </w:rPr>
        <w:t>.1–</w:t>
      </w:r>
      <w:r>
        <w:rPr>
          <w:szCs w:val="24"/>
        </w:rPr>
        <w:t>5</w:t>
      </w:r>
      <w:r w:rsidR="00FB7ACE" w:rsidRPr="00E52D96">
        <w:rPr>
          <w:szCs w:val="24"/>
        </w:rPr>
        <w:t>.2 papunkčiuose</w:t>
      </w:r>
      <w:r w:rsidR="00E52D96" w:rsidRPr="00E52D96">
        <w:rPr>
          <w:szCs w:val="24"/>
        </w:rPr>
        <w:t>.</w:t>
      </w:r>
      <w:r w:rsidR="00E52D96">
        <w:rPr>
          <w:szCs w:val="24"/>
        </w:rPr>
        <w:t xml:space="preserve"> Esant reikalui, lėšų poreikis patikslinimas iki einamųjų metų rugsėjo </w:t>
      </w:r>
      <w:r w:rsidR="00FC354B">
        <w:rPr>
          <w:szCs w:val="24"/>
        </w:rPr>
        <w:t>30</w:t>
      </w:r>
      <w:r w:rsidR="00E52D96">
        <w:rPr>
          <w:szCs w:val="24"/>
        </w:rPr>
        <w:t xml:space="preserve"> d.</w:t>
      </w:r>
    </w:p>
    <w:p w14:paraId="53E01DE5" w14:textId="1881D74E" w:rsidR="00864B08" w:rsidRDefault="006113BA" w:rsidP="00E51759">
      <w:pPr>
        <w:ind w:firstLine="720"/>
        <w:jc w:val="both"/>
        <w:rPr>
          <w:szCs w:val="24"/>
        </w:rPr>
      </w:pPr>
      <w:r>
        <w:rPr>
          <w:szCs w:val="24"/>
          <w:lang w:eastAsia="lt-LT"/>
        </w:rPr>
        <w:t>7</w:t>
      </w:r>
      <w:r w:rsidR="00864B08">
        <w:rPr>
          <w:szCs w:val="24"/>
          <w:lang w:eastAsia="lt-LT"/>
        </w:rPr>
        <w:t xml:space="preserve">. </w:t>
      </w:r>
      <w:r w:rsidR="00E52D96">
        <w:rPr>
          <w:rFonts w:eastAsia="SimSun"/>
          <w:szCs w:val="24"/>
        </w:rPr>
        <w:t>Valstybės biudžeto lėšų</w:t>
      </w:r>
      <w:r w:rsidR="004A50AC">
        <w:rPr>
          <w:szCs w:val="24"/>
          <w:lang w:eastAsia="lt-LT"/>
        </w:rPr>
        <w:t xml:space="preserve"> </w:t>
      </w:r>
      <w:r w:rsidR="00AB5692">
        <w:rPr>
          <w:szCs w:val="24"/>
        </w:rPr>
        <w:t>naudojimą</w:t>
      </w:r>
      <w:r w:rsidR="004A50AC">
        <w:rPr>
          <w:szCs w:val="24"/>
        </w:rPr>
        <w:t xml:space="preserve"> koordinuoja Savivaldybės administracijos direktoriaus įsakymu sudaryta komisija (toliau – Komisija).</w:t>
      </w:r>
    </w:p>
    <w:p w14:paraId="57E7B2AE" w14:textId="15F93122" w:rsidR="004A50AC" w:rsidRDefault="006113BA" w:rsidP="00E51759">
      <w:pPr>
        <w:ind w:firstLine="720"/>
        <w:jc w:val="both"/>
        <w:rPr>
          <w:szCs w:val="24"/>
        </w:rPr>
      </w:pPr>
      <w:r>
        <w:rPr>
          <w:szCs w:val="24"/>
        </w:rPr>
        <w:t>7</w:t>
      </w:r>
      <w:r w:rsidR="004A50AC">
        <w:rPr>
          <w:szCs w:val="24"/>
        </w:rPr>
        <w:t>.1. Komisija sudaroma iš 5 asmenų, iš kurių 3 narius deleguoja Savivaldybės administracija, po 1 atstovą – Savivaldybės tarybos Švietimo, kultūros ir sporto komitetas ir Lietuvos mokyklų vadovų asociacijos Pasvalio rajono skyrius.</w:t>
      </w:r>
    </w:p>
    <w:p w14:paraId="6EBEAAE7" w14:textId="5D4F120C" w:rsidR="004A50AC" w:rsidRDefault="006113BA" w:rsidP="004A50AC">
      <w:pPr>
        <w:ind w:firstLine="720"/>
        <w:jc w:val="both"/>
        <w:rPr>
          <w:szCs w:val="24"/>
        </w:rPr>
      </w:pPr>
      <w:r>
        <w:rPr>
          <w:szCs w:val="24"/>
        </w:rPr>
        <w:t>7</w:t>
      </w:r>
      <w:r w:rsidR="004A50AC">
        <w:rPr>
          <w:szCs w:val="24"/>
        </w:rPr>
        <w:t>.2. Komisijos pagrindinė veiklos forma yra posėdžiai, kurie šaukiami pagal poreikį.</w:t>
      </w:r>
      <w:r w:rsidR="004A50AC">
        <w:t xml:space="preserve"> </w:t>
      </w:r>
      <w:r w:rsidR="004A50AC">
        <w:rPr>
          <w:szCs w:val="24"/>
        </w:rPr>
        <w:t>Posėdžiai gali būti šaukiami kontaktiniu ir nuotoliniu būdu.</w:t>
      </w:r>
    </w:p>
    <w:p w14:paraId="23AF5D20" w14:textId="31E7B278" w:rsidR="004A50AC" w:rsidRDefault="006113BA" w:rsidP="004A50AC">
      <w:pPr>
        <w:ind w:firstLine="720"/>
        <w:jc w:val="both"/>
      </w:pPr>
      <w:r>
        <w:t>7</w:t>
      </w:r>
      <w:r w:rsidR="004A50AC">
        <w:t xml:space="preserve">.3. Komisijos pirmininkas skiriamas </w:t>
      </w:r>
      <w:r w:rsidR="004A50AC">
        <w:rPr>
          <w:szCs w:val="24"/>
        </w:rPr>
        <w:t>Savivaldybės administracijos direktoriaus įsakymu. Posėdžius šaukia, posėdžiams pirmininkauja Komisijos pirmininkas. Komisija iš savo narių, p</w:t>
      </w:r>
      <w:r w:rsidR="004A50AC">
        <w:t>irmojo posėdžio metu išsirenka Komisijos pirmininko pavaduotoją, kuris, nesant Komisijos pirmininko, pirmininkauja posėdžiui. Posėdis yra teisėtas, jeigu jame dalyvauja daugiau kaip pusė Komisijos narių.</w:t>
      </w:r>
    </w:p>
    <w:p w14:paraId="19945C2F" w14:textId="146055B5" w:rsidR="004A50AC" w:rsidRDefault="006113BA" w:rsidP="00905191">
      <w:pPr>
        <w:ind w:firstLine="709"/>
        <w:jc w:val="both"/>
      </w:pPr>
      <w:r>
        <w:t>7</w:t>
      </w:r>
      <w:r w:rsidR="004A50AC">
        <w:t xml:space="preserve">.4. Komisijos posėdžiai protokoluojami. Komisijos sekretorius išrenkamas pirmojo posėdžio metu balsų dauguma iš Komisijos narių ir turi balso teisę. Komisijos protokolus pasirašo posėdžio pirmininkas ir sekretorius. </w:t>
      </w:r>
    </w:p>
    <w:p w14:paraId="6BA13C75" w14:textId="6AC492CB" w:rsidR="004A50AC" w:rsidRDefault="006113BA" w:rsidP="00905191">
      <w:pPr>
        <w:ind w:firstLine="709"/>
        <w:jc w:val="both"/>
      </w:pPr>
      <w:r>
        <w:t>7</w:t>
      </w:r>
      <w:r w:rsidR="00F64E68">
        <w:t>.5</w:t>
      </w:r>
      <w:r w:rsidR="004A50AC">
        <w:t xml:space="preserve">. Komisijos sprendimai priimami balsų dauguma. Balsuojama atvirai. Balsams pasiskirsčius po lygiai, lemia Komisijos pirmininko, jo nesant – Komisijos pirmininko pavaduotojo balsas. </w:t>
      </w:r>
    </w:p>
    <w:p w14:paraId="239935FD" w14:textId="57711B0F" w:rsidR="004A50AC" w:rsidRDefault="006113BA" w:rsidP="00905191">
      <w:pPr>
        <w:ind w:firstLine="709"/>
        <w:jc w:val="both"/>
      </w:pPr>
      <w:r w:rsidRPr="00B65384">
        <w:t>7</w:t>
      </w:r>
      <w:r w:rsidR="00265B4A" w:rsidRPr="00B65384">
        <w:t>.6</w:t>
      </w:r>
      <w:r w:rsidR="004A50AC" w:rsidRPr="00B65384">
        <w:t xml:space="preserve">. Komisija svarsto pateiktus prašymus ir teikia rekomendaciją </w:t>
      </w:r>
      <w:r w:rsidR="00ED2F30" w:rsidRPr="00B65384">
        <w:rPr>
          <w:rFonts w:eastAsia="Calibri"/>
          <w:b/>
          <w:bCs/>
          <w:szCs w:val="24"/>
          <w:lang w:eastAsia="ar-SA"/>
        </w:rPr>
        <w:t xml:space="preserve">Savivaldybės tarybai </w:t>
      </w:r>
      <w:r w:rsidR="004A50AC" w:rsidRPr="00B65384">
        <w:t xml:space="preserve">dėl </w:t>
      </w:r>
      <w:r w:rsidR="00E52D96" w:rsidRPr="00B65384">
        <w:rPr>
          <w:rFonts w:eastAsia="SimSun"/>
          <w:szCs w:val="24"/>
        </w:rPr>
        <w:t>Valstybės biudžeto lėšų</w:t>
      </w:r>
      <w:r w:rsidR="00F64E68" w:rsidRPr="00B65384">
        <w:t xml:space="preserve"> naudojimo.</w:t>
      </w:r>
      <w:r w:rsidR="00ED2F30">
        <w:t xml:space="preserve"> </w:t>
      </w:r>
    </w:p>
    <w:p w14:paraId="47B8EA86" w14:textId="77777777" w:rsidR="00864B08" w:rsidRPr="00C14DC1" w:rsidRDefault="00864B08" w:rsidP="00C14DC1">
      <w:pPr>
        <w:ind w:firstLine="1259"/>
        <w:jc w:val="both"/>
        <w:rPr>
          <w:rFonts w:eastAsia="SimSun"/>
          <w:szCs w:val="24"/>
        </w:rPr>
      </w:pPr>
    </w:p>
    <w:p w14:paraId="1C09F8B0" w14:textId="77777777" w:rsidR="00C14DC1" w:rsidRPr="00C14DC1" w:rsidRDefault="00C14DC1" w:rsidP="00C14DC1">
      <w:pPr>
        <w:jc w:val="center"/>
        <w:rPr>
          <w:rFonts w:eastAsia="SimSun"/>
          <w:b/>
          <w:szCs w:val="24"/>
        </w:rPr>
      </w:pPr>
      <w:r w:rsidRPr="00C14DC1">
        <w:rPr>
          <w:rFonts w:eastAsia="SimSun"/>
          <w:b/>
          <w:szCs w:val="24"/>
        </w:rPr>
        <w:t>III SKYRIUS</w:t>
      </w:r>
    </w:p>
    <w:p w14:paraId="459641E4" w14:textId="77777777" w:rsidR="00C14DC1" w:rsidRPr="00C14DC1" w:rsidRDefault="00C14DC1" w:rsidP="00C14DC1">
      <w:pPr>
        <w:jc w:val="center"/>
        <w:rPr>
          <w:rFonts w:eastAsia="SimSun"/>
          <w:b/>
          <w:szCs w:val="24"/>
        </w:rPr>
      </w:pPr>
      <w:r w:rsidRPr="00C14DC1">
        <w:rPr>
          <w:rFonts w:eastAsia="SimSun"/>
          <w:b/>
          <w:szCs w:val="24"/>
        </w:rPr>
        <w:t>BAIGIAMOSIOS NUOSTATOS</w:t>
      </w:r>
    </w:p>
    <w:p w14:paraId="306AAC62" w14:textId="77777777" w:rsidR="00C14DC1" w:rsidRPr="00C14DC1" w:rsidRDefault="00C14DC1" w:rsidP="00C14DC1">
      <w:pPr>
        <w:ind w:firstLine="1259"/>
        <w:jc w:val="center"/>
        <w:rPr>
          <w:rFonts w:eastAsia="SimSun"/>
          <w:b/>
          <w:szCs w:val="24"/>
        </w:rPr>
      </w:pPr>
    </w:p>
    <w:p w14:paraId="0763FC4E" w14:textId="5504A800" w:rsidR="00C14DC1" w:rsidRPr="00C14DC1" w:rsidRDefault="006113BA" w:rsidP="00171374">
      <w:pPr>
        <w:ind w:firstLine="709"/>
        <w:jc w:val="both"/>
        <w:rPr>
          <w:rFonts w:eastAsia="SimSun"/>
          <w:szCs w:val="24"/>
        </w:rPr>
      </w:pPr>
      <w:r>
        <w:rPr>
          <w:rFonts w:eastAsia="SimSun"/>
          <w:szCs w:val="24"/>
        </w:rPr>
        <w:t>8</w:t>
      </w:r>
      <w:r w:rsidR="00C14DC1" w:rsidRPr="00C14DC1">
        <w:rPr>
          <w:rFonts w:eastAsia="SimSun"/>
          <w:szCs w:val="24"/>
        </w:rPr>
        <w:t xml:space="preserve">. Metams pasibaigus, iki kitų metų sausio 5 d. </w:t>
      </w:r>
      <w:r w:rsidR="008D63C4">
        <w:rPr>
          <w:rFonts w:eastAsia="SimSun"/>
          <w:szCs w:val="24"/>
        </w:rPr>
        <w:t>S</w:t>
      </w:r>
      <w:r w:rsidR="00C14DC1" w:rsidRPr="00C14DC1">
        <w:rPr>
          <w:rFonts w:eastAsia="SimSun"/>
          <w:szCs w:val="24"/>
        </w:rPr>
        <w:t xml:space="preserve">avivaldybei atitinkamiems metams skirtas ir nepanaudotas </w:t>
      </w:r>
      <w:r w:rsidR="008D63C4">
        <w:rPr>
          <w:rFonts w:eastAsia="SimSun"/>
          <w:szCs w:val="24"/>
        </w:rPr>
        <w:t>V</w:t>
      </w:r>
      <w:r w:rsidR="00C14DC1" w:rsidRPr="00C14DC1">
        <w:rPr>
          <w:rFonts w:eastAsia="SimSun"/>
          <w:szCs w:val="24"/>
        </w:rPr>
        <w:t xml:space="preserve">alstybės biudžeto lėšas </w:t>
      </w:r>
      <w:r w:rsidR="008D63C4">
        <w:rPr>
          <w:rFonts w:eastAsia="SimSun"/>
          <w:szCs w:val="24"/>
        </w:rPr>
        <w:t>S</w:t>
      </w:r>
      <w:r w:rsidR="00C14DC1" w:rsidRPr="00C14DC1">
        <w:rPr>
          <w:rFonts w:eastAsia="SimSun"/>
          <w:szCs w:val="24"/>
        </w:rPr>
        <w:t xml:space="preserve">avivaldybės administracijos </w:t>
      </w:r>
      <w:r w:rsidR="00171374">
        <w:rPr>
          <w:rFonts w:eastAsia="SimSun"/>
          <w:szCs w:val="24"/>
        </w:rPr>
        <w:t>Finansų</w:t>
      </w:r>
      <w:r w:rsidR="00C14DC1" w:rsidRPr="00C14DC1">
        <w:rPr>
          <w:rFonts w:eastAsia="SimSun"/>
          <w:szCs w:val="24"/>
        </w:rPr>
        <w:t xml:space="preserve"> skyrius grąžina į Švietimo, mokslo ir sporto ministerijos banko sąskaitą Nr. LT30 7300 0100 0245 7205.</w:t>
      </w:r>
    </w:p>
    <w:p w14:paraId="21D2E181" w14:textId="2EADE0DE" w:rsidR="00C14DC1" w:rsidRPr="00C14DC1" w:rsidRDefault="006113BA" w:rsidP="00905191">
      <w:pPr>
        <w:ind w:firstLine="709"/>
        <w:jc w:val="both"/>
        <w:rPr>
          <w:rFonts w:eastAsia="SimSun"/>
          <w:szCs w:val="24"/>
        </w:rPr>
      </w:pPr>
      <w:r>
        <w:rPr>
          <w:rFonts w:eastAsia="SimSun"/>
          <w:szCs w:val="24"/>
        </w:rPr>
        <w:t>9</w:t>
      </w:r>
      <w:r w:rsidR="00C14DC1" w:rsidRPr="00C14DC1">
        <w:rPr>
          <w:rFonts w:eastAsia="SimSun"/>
          <w:szCs w:val="24"/>
        </w:rPr>
        <w:t xml:space="preserve">. </w:t>
      </w:r>
      <w:r w:rsidR="00905191">
        <w:rPr>
          <w:rFonts w:eastAsia="SimSun"/>
          <w:szCs w:val="24"/>
        </w:rPr>
        <w:t>Mokyklos</w:t>
      </w:r>
      <w:r w:rsidR="00C14DC1" w:rsidRPr="00C14DC1">
        <w:rPr>
          <w:rFonts w:eastAsia="SimSun"/>
          <w:szCs w:val="24"/>
        </w:rPr>
        <w:t xml:space="preserve"> iki kitų metų vasario 1 d. pateikia </w:t>
      </w:r>
      <w:r w:rsidR="008D63C4">
        <w:rPr>
          <w:rFonts w:eastAsia="SimSun"/>
          <w:szCs w:val="24"/>
        </w:rPr>
        <w:t xml:space="preserve">Savivaldybės administracijos </w:t>
      </w:r>
      <w:r w:rsidR="00C14DC1" w:rsidRPr="00C14DC1">
        <w:rPr>
          <w:rFonts w:eastAsia="SimSun"/>
          <w:szCs w:val="24"/>
        </w:rPr>
        <w:t xml:space="preserve">Švietimo </w:t>
      </w:r>
      <w:r w:rsidR="00171374">
        <w:rPr>
          <w:rFonts w:eastAsia="SimSun"/>
          <w:szCs w:val="24"/>
        </w:rPr>
        <w:t xml:space="preserve">ir sporto </w:t>
      </w:r>
      <w:r w:rsidR="00C14DC1" w:rsidRPr="00C14DC1">
        <w:rPr>
          <w:rFonts w:eastAsia="SimSun"/>
          <w:szCs w:val="24"/>
        </w:rPr>
        <w:t>skyriui Valstybės biudžeto panaudojimo ataskaitą, pagal šio Aprašo</w:t>
      </w:r>
      <w:r w:rsidR="00E52D96">
        <w:rPr>
          <w:rFonts w:eastAsia="SimSun"/>
          <w:szCs w:val="24"/>
        </w:rPr>
        <w:t xml:space="preserve"> </w:t>
      </w:r>
      <w:r w:rsidR="00C14DC1" w:rsidRPr="00C14DC1">
        <w:rPr>
          <w:rFonts w:eastAsia="SimSun"/>
          <w:szCs w:val="24"/>
        </w:rPr>
        <w:t>priedą.</w:t>
      </w:r>
    </w:p>
    <w:p w14:paraId="3221C8F0" w14:textId="060E7C3A" w:rsidR="00C14DC1" w:rsidRPr="00C14DC1" w:rsidRDefault="006113BA" w:rsidP="00905191">
      <w:pPr>
        <w:ind w:firstLine="709"/>
        <w:jc w:val="both"/>
        <w:rPr>
          <w:rFonts w:eastAsia="SimSun"/>
          <w:szCs w:val="24"/>
        </w:rPr>
      </w:pPr>
      <w:r>
        <w:rPr>
          <w:rFonts w:eastAsia="SimSun"/>
          <w:szCs w:val="24"/>
        </w:rPr>
        <w:t>10</w:t>
      </w:r>
      <w:r w:rsidR="00C14DC1" w:rsidRPr="00C14DC1">
        <w:rPr>
          <w:rFonts w:eastAsia="SimSun"/>
          <w:szCs w:val="24"/>
        </w:rPr>
        <w:t xml:space="preserve">. </w:t>
      </w:r>
      <w:r w:rsidR="008D63C4">
        <w:rPr>
          <w:rFonts w:eastAsia="SimSun"/>
          <w:szCs w:val="24"/>
        </w:rPr>
        <w:t>S</w:t>
      </w:r>
      <w:r w:rsidR="00C14DC1" w:rsidRPr="00C14DC1">
        <w:rPr>
          <w:rFonts w:eastAsia="SimSun"/>
          <w:szCs w:val="24"/>
        </w:rPr>
        <w:t xml:space="preserve">avivaldybės administracijos </w:t>
      </w:r>
      <w:r w:rsidR="00C14DC1" w:rsidRPr="00E52D96">
        <w:rPr>
          <w:rFonts w:eastAsia="SimSun"/>
          <w:szCs w:val="24"/>
        </w:rPr>
        <w:t>Švietimo</w:t>
      </w:r>
      <w:r w:rsidR="00171374" w:rsidRPr="00E52D96">
        <w:rPr>
          <w:rFonts w:eastAsia="SimSun"/>
          <w:szCs w:val="24"/>
        </w:rPr>
        <w:t xml:space="preserve"> ir sporto</w:t>
      </w:r>
      <w:r w:rsidR="00C14DC1" w:rsidRPr="00E52D96">
        <w:rPr>
          <w:rFonts w:eastAsia="SimSun"/>
          <w:szCs w:val="24"/>
        </w:rPr>
        <w:t xml:space="preserve"> skyrius</w:t>
      </w:r>
      <w:r w:rsidR="008F47AC">
        <w:rPr>
          <w:rFonts w:eastAsia="SimSun"/>
          <w:szCs w:val="24"/>
        </w:rPr>
        <w:t>,</w:t>
      </w:r>
      <w:r w:rsidR="00E9237A" w:rsidRPr="00E52D96">
        <w:rPr>
          <w:rFonts w:eastAsia="SimSun"/>
          <w:szCs w:val="24"/>
        </w:rPr>
        <w:t xml:space="preserve"> suderinęs su Finansų skyriumi</w:t>
      </w:r>
      <w:r w:rsidR="008F47AC">
        <w:rPr>
          <w:rFonts w:eastAsia="SimSun"/>
          <w:szCs w:val="24"/>
        </w:rPr>
        <w:t>,</w:t>
      </w:r>
      <w:r w:rsidR="00C14DC1" w:rsidRPr="00C14DC1">
        <w:rPr>
          <w:rFonts w:eastAsia="SimSun"/>
          <w:szCs w:val="24"/>
        </w:rPr>
        <w:t xml:space="preserve"> iki kitų metų kovo 1 d. pateikia Švietimo, mokslo ir sporto ministerijai Valstybės biudžeto lėšų panaudojimo ataskaitą, parengtą pagal Lietuvos Respublikos 2022 metų Valstybės biudžeto lėšų, skirtų savivaldybių bendrojo ugdymo mokyklų tinklo stiprinimo iniciatyvoms skatinti, paskirstymo tvarkos aprašo, patvirtinto Lietuvos Respublikos švietimo, mokslo ir sporto ministro 2022 m. kovo 2 d. įsakymu Nr. V-342 „Dėl Lietuvos Respublikos 2022 metų valstybės biudžeto lėšų, skirtų savivaldybių bendrojo ugdymo mokyklų tinklų stiprinimo iniciatyvoms skatinti, paskirstymo tvarkos aprašo patvirtinimo“ priede pateiktą formą.</w:t>
      </w:r>
    </w:p>
    <w:p w14:paraId="55266612" w14:textId="69FA3128" w:rsidR="00C14DC1" w:rsidRPr="00C14DC1" w:rsidRDefault="006113BA" w:rsidP="00905191">
      <w:pPr>
        <w:ind w:firstLine="709"/>
        <w:jc w:val="both"/>
        <w:rPr>
          <w:rFonts w:eastAsia="SimSun"/>
          <w:szCs w:val="24"/>
        </w:rPr>
      </w:pPr>
      <w:r>
        <w:rPr>
          <w:rFonts w:eastAsia="SimSun"/>
          <w:szCs w:val="24"/>
        </w:rPr>
        <w:t>11</w:t>
      </w:r>
      <w:r w:rsidR="00C14DC1" w:rsidRPr="00C14DC1">
        <w:rPr>
          <w:rFonts w:eastAsia="SimSun"/>
          <w:szCs w:val="24"/>
        </w:rPr>
        <w:t xml:space="preserve">. </w:t>
      </w:r>
      <w:r w:rsidR="008D63C4">
        <w:rPr>
          <w:rFonts w:eastAsia="SimSun"/>
          <w:szCs w:val="24"/>
        </w:rPr>
        <w:t>S</w:t>
      </w:r>
      <w:r w:rsidR="00C14DC1" w:rsidRPr="00C14DC1">
        <w:rPr>
          <w:rFonts w:eastAsia="SimSun"/>
          <w:szCs w:val="24"/>
        </w:rPr>
        <w:t xml:space="preserve">avivaldybės administracijos Švietimo </w:t>
      </w:r>
      <w:r w:rsidR="002A1221">
        <w:rPr>
          <w:rFonts w:eastAsia="SimSun"/>
          <w:szCs w:val="24"/>
        </w:rPr>
        <w:t xml:space="preserve">ir sporto </w:t>
      </w:r>
      <w:r w:rsidR="00C14DC1" w:rsidRPr="00C14DC1">
        <w:rPr>
          <w:rFonts w:eastAsia="SimSun"/>
          <w:szCs w:val="24"/>
        </w:rPr>
        <w:t xml:space="preserve">skyrius turi teisę paprašyti </w:t>
      </w:r>
      <w:r w:rsidR="008D63C4">
        <w:rPr>
          <w:rFonts w:eastAsia="SimSun"/>
          <w:szCs w:val="24"/>
        </w:rPr>
        <w:t>Mokyklų</w:t>
      </w:r>
      <w:r w:rsidR="00C14DC1" w:rsidRPr="00C14DC1">
        <w:rPr>
          <w:rFonts w:eastAsia="SimSun"/>
          <w:szCs w:val="24"/>
        </w:rPr>
        <w:t xml:space="preserve"> papildomos informacijos, susijusios su valstybės biudžeto lėšomis.</w:t>
      </w:r>
    </w:p>
    <w:p w14:paraId="3D2693EF" w14:textId="38561709" w:rsidR="00022BAD" w:rsidRPr="00136025" w:rsidRDefault="00022BAD" w:rsidP="00136025">
      <w:pPr>
        <w:suppressAutoHyphens/>
        <w:ind w:firstLine="709"/>
        <w:jc w:val="both"/>
        <w:rPr>
          <w:szCs w:val="24"/>
          <w:lang w:eastAsia="ar-SA"/>
        </w:rPr>
      </w:pPr>
      <w:r>
        <w:rPr>
          <w:rFonts w:eastAsia="SimSun"/>
          <w:szCs w:val="24"/>
        </w:rPr>
        <w:t>1</w:t>
      </w:r>
      <w:r w:rsidR="006113BA">
        <w:rPr>
          <w:rFonts w:eastAsia="SimSun"/>
          <w:szCs w:val="24"/>
        </w:rPr>
        <w:t>2</w:t>
      </w:r>
      <w:r>
        <w:rPr>
          <w:rFonts w:eastAsia="SimSun"/>
          <w:szCs w:val="24"/>
        </w:rPr>
        <w:t xml:space="preserve">. Aprašas </w:t>
      </w:r>
      <w:r>
        <w:rPr>
          <w:szCs w:val="24"/>
          <w:lang w:eastAsia="ar-SA"/>
        </w:rPr>
        <w:t xml:space="preserve">tikslinamas, keičiamas ar </w:t>
      </w:r>
      <w:r w:rsidR="008D63C4">
        <w:rPr>
          <w:szCs w:val="24"/>
          <w:lang w:eastAsia="ar-SA"/>
        </w:rPr>
        <w:t>pripažįstamas netekusiu galios S</w:t>
      </w:r>
      <w:r>
        <w:rPr>
          <w:szCs w:val="24"/>
          <w:lang w:eastAsia="ar-SA"/>
        </w:rPr>
        <w:t>avivaldybės tarybos sprendimu.</w:t>
      </w:r>
    </w:p>
    <w:p w14:paraId="0C061809" w14:textId="7FA36B3A" w:rsidR="00C14DC1" w:rsidRPr="00C14DC1" w:rsidRDefault="00905191" w:rsidP="00905191">
      <w:pPr>
        <w:ind w:firstLine="709"/>
        <w:jc w:val="both"/>
        <w:rPr>
          <w:rFonts w:eastAsia="SimSun"/>
          <w:szCs w:val="24"/>
        </w:rPr>
      </w:pPr>
      <w:r>
        <w:rPr>
          <w:rFonts w:eastAsia="SimSun"/>
          <w:szCs w:val="24"/>
        </w:rPr>
        <w:t>1</w:t>
      </w:r>
      <w:r w:rsidR="006113BA">
        <w:rPr>
          <w:rFonts w:eastAsia="SimSun"/>
          <w:szCs w:val="24"/>
        </w:rPr>
        <w:t>3</w:t>
      </w:r>
      <w:r w:rsidR="00C14DC1" w:rsidRPr="00BD2136">
        <w:rPr>
          <w:rFonts w:eastAsia="SimSun"/>
          <w:szCs w:val="24"/>
        </w:rPr>
        <w:t>. Aprašo įgyvendinim</w:t>
      </w:r>
      <w:r w:rsidR="002A1221" w:rsidRPr="00BD2136">
        <w:rPr>
          <w:rFonts w:eastAsia="SimSun"/>
          <w:szCs w:val="24"/>
        </w:rPr>
        <w:t xml:space="preserve">o priežiūrą vykdo </w:t>
      </w:r>
      <w:r w:rsidR="008D63C4">
        <w:rPr>
          <w:rFonts w:eastAsia="SimSun"/>
          <w:szCs w:val="24"/>
        </w:rPr>
        <w:t>S</w:t>
      </w:r>
      <w:r w:rsidR="00C14DC1" w:rsidRPr="00BD2136">
        <w:rPr>
          <w:rFonts w:eastAsia="SimSun"/>
          <w:szCs w:val="24"/>
        </w:rPr>
        <w:t xml:space="preserve">avivaldybės administracijos </w:t>
      </w:r>
      <w:r w:rsidR="002A1221" w:rsidRPr="00BD2136">
        <w:rPr>
          <w:rFonts w:eastAsia="SimSun"/>
          <w:szCs w:val="24"/>
        </w:rPr>
        <w:t>Švietimo ir sporto skyrius.</w:t>
      </w:r>
    </w:p>
    <w:p w14:paraId="60D4CD6F" w14:textId="77777777" w:rsidR="00C14DC1" w:rsidRPr="00C14DC1" w:rsidRDefault="00C14DC1" w:rsidP="00C14DC1">
      <w:pPr>
        <w:ind w:firstLine="1259"/>
        <w:jc w:val="both"/>
        <w:rPr>
          <w:rFonts w:eastAsia="SimSun"/>
          <w:szCs w:val="24"/>
        </w:rPr>
      </w:pPr>
    </w:p>
    <w:p w14:paraId="5EDA160E" w14:textId="77777777" w:rsidR="00C14DC1" w:rsidRPr="00C14DC1" w:rsidRDefault="00C14DC1" w:rsidP="00C14DC1">
      <w:pPr>
        <w:jc w:val="center"/>
        <w:rPr>
          <w:rFonts w:eastAsia="SimSun"/>
          <w:szCs w:val="24"/>
        </w:rPr>
      </w:pPr>
      <w:r w:rsidRPr="00C14DC1">
        <w:rPr>
          <w:rFonts w:eastAsia="SimSun"/>
          <w:szCs w:val="24"/>
        </w:rPr>
        <w:t>________________________</w:t>
      </w:r>
    </w:p>
    <w:p w14:paraId="6DB59D27" w14:textId="77777777" w:rsidR="001C2B68" w:rsidRDefault="001C2B68" w:rsidP="00EA791B">
      <w:pPr>
        <w:rPr>
          <w:b/>
        </w:rPr>
      </w:pPr>
    </w:p>
    <w:p w14:paraId="6B5AC917" w14:textId="77777777" w:rsidR="001C2B68" w:rsidRDefault="001C2B68" w:rsidP="00EA791B">
      <w:pPr>
        <w:rPr>
          <w:b/>
        </w:rPr>
      </w:pPr>
    </w:p>
    <w:p w14:paraId="14E1752A" w14:textId="77777777" w:rsidR="00EA791B" w:rsidRDefault="00EA791B" w:rsidP="00EA791B">
      <w:pPr>
        <w:rPr>
          <w:b/>
        </w:rPr>
        <w:sectPr w:rsidR="00EA791B" w:rsidSect="00C14DC1">
          <w:type w:val="continuous"/>
          <w:pgSz w:w="11906" w:h="16838"/>
          <w:pgMar w:top="1276" w:right="707" w:bottom="1134" w:left="1276" w:header="567" w:footer="567" w:gutter="0"/>
          <w:cols w:space="1296"/>
          <w:docGrid w:linePitch="360"/>
        </w:sectPr>
      </w:pPr>
    </w:p>
    <w:tbl>
      <w:tblPr>
        <w:tblW w:w="14944" w:type="dxa"/>
        <w:tblLook w:val="04A0" w:firstRow="1" w:lastRow="0" w:firstColumn="1" w:lastColumn="0" w:noHBand="0" w:noVBand="1"/>
      </w:tblPr>
      <w:tblGrid>
        <w:gridCol w:w="1489"/>
        <w:gridCol w:w="921"/>
        <w:gridCol w:w="567"/>
        <w:gridCol w:w="709"/>
        <w:gridCol w:w="1403"/>
        <w:gridCol w:w="1205"/>
        <w:gridCol w:w="2637"/>
        <w:gridCol w:w="1220"/>
        <w:gridCol w:w="4793"/>
      </w:tblGrid>
      <w:tr w:rsidR="002A1221" w:rsidRPr="002A1221" w14:paraId="017AF417" w14:textId="77777777" w:rsidTr="00E573F2">
        <w:trPr>
          <w:trHeight w:val="1410"/>
        </w:trPr>
        <w:tc>
          <w:tcPr>
            <w:tcW w:w="1489" w:type="dxa"/>
            <w:tcBorders>
              <w:top w:val="nil"/>
              <w:left w:val="nil"/>
              <w:bottom w:val="nil"/>
              <w:right w:val="nil"/>
            </w:tcBorders>
            <w:shd w:val="clear" w:color="auto" w:fill="auto"/>
            <w:noWrap/>
            <w:vAlign w:val="bottom"/>
            <w:hideMark/>
          </w:tcPr>
          <w:p w14:paraId="28587ED6" w14:textId="77777777" w:rsidR="002A1221" w:rsidRPr="002A1221" w:rsidRDefault="002A1221" w:rsidP="002A1221">
            <w:pPr>
              <w:rPr>
                <w:sz w:val="20"/>
                <w:lang w:eastAsia="lt-LT"/>
              </w:rPr>
            </w:pPr>
          </w:p>
        </w:tc>
        <w:tc>
          <w:tcPr>
            <w:tcW w:w="921" w:type="dxa"/>
            <w:tcBorders>
              <w:top w:val="nil"/>
              <w:left w:val="nil"/>
              <w:bottom w:val="nil"/>
              <w:right w:val="nil"/>
            </w:tcBorders>
            <w:shd w:val="clear" w:color="auto" w:fill="auto"/>
            <w:noWrap/>
            <w:vAlign w:val="bottom"/>
            <w:hideMark/>
          </w:tcPr>
          <w:p w14:paraId="6606A285" w14:textId="77777777" w:rsidR="002A1221" w:rsidRPr="002A1221" w:rsidRDefault="002A1221" w:rsidP="002A1221">
            <w:pPr>
              <w:rPr>
                <w:sz w:val="20"/>
                <w:lang w:eastAsia="lt-LT"/>
              </w:rPr>
            </w:pPr>
          </w:p>
        </w:tc>
        <w:tc>
          <w:tcPr>
            <w:tcW w:w="567" w:type="dxa"/>
            <w:tcBorders>
              <w:top w:val="nil"/>
              <w:left w:val="nil"/>
              <w:bottom w:val="nil"/>
              <w:right w:val="nil"/>
            </w:tcBorders>
            <w:shd w:val="clear" w:color="auto" w:fill="auto"/>
            <w:noWrap/>
            <w:vAlign w:val="bottom"/>
            <w:hideMark/>
          </w:tcPr>
          <w:p w14:paraId="2795ACCC" w14:textId="77777777" w:rsidR="002A1221" w:rsidRPr="002A1221" w:rsidRDefault="002A1221" w:rsidP="002A1221">
            <w:pPr>
              <w:rPr>
                <w:sz w:val="20"/>
                <w:lang w:eastAsia="lt-LT"/>
              </w:rPr>
            </w:pPr>
          </w:p>
        </w:tc>
        <w:tc>
          <w:tcPr>
            <w:tcW w:w="709" w:type="dxa"/>
            <w:tcBorders>
              <w:top w:val="nil"/>
              <w:left w:val="nil"/>
              <w:bottom w:val="nil"/>
              <w:right w:val="nil"/>
            </w:tcBorders>
            <w:shd w:val="clear" w:color="auto" w:fill="auto"/>
            <w:noWrap/>
            <w:vAlign w:val="bottom"/>
            <w:hideMark/>
          </w:tcPr>
          <w:p w14:paraId="3412D7D7" w14:textId="77777777" w:rsidR="002A1221" w:rsidRPr="002A1221" w:rsidRDefault="002A1221" w:rsidP="002A1221">
            <w:pPr>
              <w:rPr>
                <w:sz w:val="20"/>
                <w:lang w:eastAsia="lt-LT"/>
              </w:rPr>
            </w:pPr>
          </w:p>
        </w:tc>
        <w:tc>
          <w:tcPr>
            <w:tcW w:w="1403" w:type="dxa"/>
            <w:tcBorders>
              <w:top w:val="nil"/>
              <w:left w:val="nil"/>
              <w:bottom w:val="nil"/>
              <w:right w:val="nil"/>
            </w:tcBorders>
            <w:shd w:val="clear" w:color="auto" w:fill="auto"/>
            <w:noWrap/>
            <w:vAlign w:val="bottom"/>
            <w:hideMark/>
          </w:tcPr>
          <w:p w14:paraId="51EF22C1" w14:textId="77777777" w:rsidR="002A1221" w:rsidRPr="002A1221" w:rsidRDefault="002A1221" w:rsidP="002A1221">
            <w:pPr>
              <w:rPr>
                <w:sz w:val="20"/>
                <w:lang w:eastAsia="lt-LT"/>
              </w:rPr>
            </w:pPr>
          </w:p>
        </w:tc>
        <w:tc>
          <w:tcPr>
            <w:tcW w:w="1205" w:type="dxa"/>
            <w:tcBorders>
              <w:top w:val="nil"/>
              <w:left w:val="nil"/>
              <w:bottom w:val="nil"/>
              <w:right w:val="nil"/>
            </w:tcBorders>
            <w:shd w:val="clear" w:color="auto" w:fill="auto"/>
            <w:noWrap/>
            <w:vAlign w:val="bottom"/>
            <w:hideMark/>
          </w:tcPr>
          <w:p w14:paraId="5E15232C" w14:textId="77777777" w:rsidR="002A1221" w:rsidRPr="002A1221" w:rsidRDefault="002A1221" w:rsidP="002A1221">
            <w:pPr>
              <w:rPr>
                <w:sz w:val="20"/>
                <w:lang w:eastAsia="lt-LT"/>
              </w:rPr>
            </w:pPr>
          </w:p>
        </w:tc>
        <w:tc>
          <w:tcPr>
            <w:tcW w:w="2637" w:type="dxa"/>
            <w:tcBorders>
              <w:top w:val="nil"/>
              <w:left w:val="nil"/>
              <w:bottom w:val="nil"/>
              <w:right w:val="nil"/>
            </w:tcBorders>
            <w:shd w:val="clear" w:color="auto" w:fill="auto"/>
            <w:noWrap/>
            <w:vAlign w:val="bottom"/>
            <w:hideMark/>
          </w:tcPr>
          <w:p w14:paraId="6BF33FC0" w14:textId="77777777" w:rsidR="002A1221" w:rsidRPr="002A1221" w:rsidRDefault="002A1221" w:rsidP="002A1221">
            <w:pPr>
              <w:rPr>
                <w:sz w:val="20"/>
                <w:lang w:eastAsia="lt-LT"/>
              </w:rPr>
            </w:pPr>
          </w:p>
        </w:tc>
        <w:tc>
          <w:tcPr>
            <w:tcW w:w="6013" w:type="dxa"/>
            <w:gridSpan w:val="2"/>
            <w:tcBorders>
              <w:top w:val="nil"/>
              <w:left w:val="nil"/>
              <w:bottom w:val="nil"/>
              <w:right w:val="nil"/>
            </w:tcBorders>
            <w:shd w:val="clear" w:color="auto" w:fill="auto"/>
            <w:vAlign w:val="center"/>
            <w:hideMark/>
          </w:tcPr>
          <w:p w14:paraId="6DE190BF" w14:textId="77777777" w:rsidR="002A1221" w:rsidRPr="003A37D1" w:rsidRDefault="007A667D" w:rsidP="003A37D1">
            <w:pPr>
              <w:ind w:left="27"/>
              <w:jc w:val="both"/>
              <w:rPr>
                <w:rFonts w:eastAsia="SimSun"/>
                <w:bCs/>
                <w:sz w:val="20"/>
              </w:rPr>
            </w:pPr>
            <w:r w:rsidRPr="007A667D">
              <w:rPr>
                <w:rFonts w:eastAsia="SimSun"/>
                <w:bCs/>
                <w:sz w:val="20"/>
              </w:rPr>
              <w:t xml:space="preserve">Lietuvos Respublikos 2022 metų valstybės biudžeto lėšų, skirtų Pasvalio rajono savivaldybės bendrojo ugdymo mokyklų tinklo stiprinimo iniciatyvoms skatinti, naudojimo tvarkos aprašo </w:t>
            </w:r>
            <w:r w:rsidR="002A1221" w:rsidRPr="002A1221">
              <w:rPr>
                <w:sz w:val="20"/>
                <w:lang w:eastAsia="lt-LT"/>
              </w:rPr>
              <w:br/>
              <w:t>priedas</w:t>
            </w:r>
          </w:p>
        </w:tc>
      </w:tr>
      <w:tr w:rsidR="002A1221" w:rsidRPr="002A1221" w14:paraId="787E9A33" w14:textId="77777777" w:rsidTr="00E573F2">
        <w:trPr>
          <w:trHeight w:val="315"/>
        </w:trPr>
        <w:tc>
          <w:tcPr>
            <w:tcW w:w="1489" w:type="dxa"/>
            <w:tcBorders>
              <w:top w:val="nil"/>
              <w:left w:val="nil"/>
              <w:bottom w:val="nil"/>
              <w:right w:val="nil"/>
            </w:tcBorders>
            <w:shd w:val="clear" w:color="auto" w:fill="auto"/>
            <w:noWrap/>
            <w:vAlign w:val="center"/>
            <w:hideMark/>
          </w:tcPr>
          <w:p w14:paraId="2A602312" w14:textId="77777777" w:rsidR="002A1221" w:rsidRPr="002A1221" w:rsidRDefault="002A1221" w:rsidP="002A1221">
            <w:pPr>
              <w:jc w:val="center"/>
              <w:rPr>
                <w:b/>
                <w:bCs/>
                <w:sz w:val="20"/>
                <w:lang w:eastAsia="lt-LT"/>
              </w:rPr>
            </w:pPr>
          </w:p>
        </w:tc>
        <w:tc>
          <w:tcPr>
            <w:tcW w:w="921" w:type="dxa"/>
            <w:tcBorders>
              <w:top w:val="nil"/>
              <w:left w:val="nil"/>
              <w:bottom w:val="nil"/>
              <w:right w:val="nil"/>
            </w:tcBorders>
            <w:shd w:val="clear" w:color="auto" w:fill="auto"/>
            <w:noWrap/>
            <w:vAlign w:val="bottom"/>
            <w:hideMark/>
          </w:tcPr>
          <w:p w14:paraId="452E4088" w14:textId="77777777" w:rsidR="002A1221" w:rsidRPr="002A1221" w:rsidRDefault="002A1221" w:rsidP="002A1221">
            <w:pPr>
              <w:jc w:val="center"/>
              <w:rPr>
                <w:sz w:val="20"/>
                <w:lang w:eastAsia="lt-LT"/>
              </w:rPr>
            </w:pPr>
          </w:p>
        </w:tc>
        <w:tc>
          <w:tcPr>
            <w:tcW w:w="567" w:type="dxa"/>
            <w:tcBorders>
              <w:top w:val="nil"/>
              <w:left w:val="nil"/>
              <w:bottom w:val="nil"/>
              <w:right w:val="nil"/>
            </w:tcBorders>
            <w:shd w:val="clear" w:color="auto" w:fill="auto"/>
            <w:noWrap/>
            <w:vAlign w:val="bottom"/>
            <w:hideMark/>
          </w:tcPr>
          <w:p w14:paraId="1A6E76D4" w14:textId="77777777" w:rsidR="002A1221" w:rsidRPr="002A1221" w:rsidRDefault="002A1221" w:rsidP="002A1221">
            <w:pPr>
              <w:rPr>
                <w:sz w:val="20"/>
                <w:lang w:eastAsia="lt-LT"/>
              </w:rPr>
            </w:pPr>
          </w:p>
        </w:tc>
        <w:tc>
          <w:tcPr>
            <w:tcW w:w="709" w:type="dxa"/>
            <w:tcBorders>
              <w:top w:val="nil"/>
              <w:left w:val="nil"/>
              <w:bottom w:val="nil"/>
              <w:right w:val="nil"/>
            </w:tcBorders>
            <w:shd w:val="clear" w:color="auto" w:fill="auto"/>
            <w:noWrap/>
            <w:vAlign w:val="bottom"/>
            <w:hideMark/>
          </w:tcPr>
          <w:p w14:paraId="1AD15931" w14:textId="77777777" w:rsidR="002A1221" w:rsidRPr="002A1221" w:rsidRDefault="002A1221" w:rsidP="002A1221">
            <w:pPr>
              <w:rPr>
                <w:sz w:val="20"/>
                <w:lang w:eastAsia="lt-LT"/>
              </w:rPr>
            </w:pPr>
          </w:p>
        </w:tc>
        <w:tc>
          <w:tcPr>
            <w:tcW w:w="1403" w:type="dxa"/>
            <w:tcBorders>
              <w:top w:val="nil"/>
              <w:left w:val="nil"/>
              <w:bottom w:val="nil"/>
              <w:right w:val="nil"/>
            </w:tcBorders>
            <w:shd w:val="clear" w:color="auto" w:fill="auto"/>
            <w:noWrap/>
            <w:vAlign w:val="bottom"/>
            <w:hideMark/>
          </w:tcPr>
          <w:p w14:paraId="6C576CCA" w14:textId="77777777" w:rsidR="002A1221" w:rsidRPr="002A1221" w:rsidRDefault="002A1221" w:rsidP="002A1221">
            <w:pPr>
              <w:rPr>
                <w:sz w:val="20"/>
                <w:lang w:eastAsia="lt-LT"/>
              </w:rPr>
            </w:pPr>
          </w:p>
        </w:tc>
        <w:tc>
          <w:tcPr>
            <w:tcW w:w="1205" w:type="dxa"/>
            <w:tcBorders>
              <w:top w:val="nil"/>
              <w:left w:val="nil"/>
              <w:bottom w:val="nil"/>
              <w:right w:val="nil"/>
            </w:tcBorders>
            <w:shd w:val="clear" w:color="auto" w:fill="auto"/>
            <w:noWrap/>
            <w:vAlign w:val="bottom"/>
            <w:hideMark/>
          </w:tcPr>
          <w:p w14:paraId="70F55FDD" w14:textId="77777777" w:rsidR="002A1221" w:rsidRPr="002A1221" w:rsidRDefault="002A1221" w:rsidP="002A1221">
            <w:pPr>
              <w:rPr>
                <w:sz w:val="20"/>
                <w:lang w:eastAsia="lt-LT"/>
              </w:rPr>
            </w:pPr>
          </w:p>
        </w:tc>
        <w:tc>
          <w:tcPr>
            <w:tcW w:w="2637" w:type="dxa"/>
            <w:tcBorders>
              <w:top w:val="nil"/>
              <w:left w:val="nil"/>
              <w:bottom w:val="nil"/>
              <w:right w:val="nil"/>
            </w:tcBorders>
            <w:shd w:val="clear" w:color="auto" w:fill="auto"/>
            <w:noWrap/>
            <w:vAlign w:val="bottom"/>
            <w:hideMark/>
          </w:tcPr>
          <w:p w14:paraId="106BA370" w14:textId="77777777" w:rsidR="002A1221" w:rsidRPr="002A1221" w:rsidRDefault="002A1221" w:rsidP="002A1221">
            <w:pPr>
              <w:rPr>
                <w:sz w:val="20"/>
                <w:lang w:eastAsia="lt-LT"/>
              </w:rPr>
            </w:pPr>
          </w:p>
        </w:tc>
        <w:tc>
          <w:tcPr>
            <w:tcW w:w="1220" w:type="dxa"/>
            <w:tcBorders>
              <w:top w:val="nil"/>
              <w:left w:val="nil"/>
              <w:bottom w:val="nil"/>
              <w:right w:val="nil"/>
            </w:tcBorders>
            <w:shd w:val="clear" w:color="auto" w:fill="auto"/>
            <w:noWrap/>
            <w:vAlign w:val="bottom"/>
            <w:hideMark/>
          </w:tcPr>
          <w:p w14:paraId="0C69C6CC" w14:textId="77777777" w:rsidR="002A1221" w:rsidRPr="002A1221" w:rsidRDefault="002A1221" w:rsidP="002A1221">
            <w:pPr>
              <w:rPr>
                <w:sz w:val="20"/>
                <w:lang w:eastAsia="lt-LT"/>
              </w:rPr>
            </w:pPr>
          </w:p>
        </w:tc>
        <w:tc>
          <w:tcPr>
            <w:tcW w:w="4793" w:type="dxa"/>
            <w:tcBorders>
              <w:top w:val="nil"/>
              <w:left w:val="nil"/>
              <w:bottom w:val="nil"/>
              <w:right w:val="nil"/>
            </w:tcBorders>
            <w:shd w:val="clear" w:color="auto" w:fill="auto"/>
            <w:noWrap/>
            <w:vAlign w:val="bottom"/>
            <w:hideMark/>
          </w:tcPr>
          <w:p w14:paraId="50FC420C" w14:textId="77777777" w:rsidR="002A1221" w:rsidRPr="002A1221" w:rsidRDefault="002A1221" w:rsidP="002A1221">
            <w:pPr>
              <w:rPr>
                <w:sz w:val="20"/>
                <w:lang w:eastAsia="lt-LT"/>
              </w:rPr>
            </w:pPr>
          </w:p>
        </w:tc>
      </w:tr>
      <w:tr w:rsidR="002A1221" w:rsidRPr="002A1221" w14:paraId="7C91E4CF" w14:textId="77777777" w:rsidTr="002A1221">
        <w:trPr>
          <w:trHeight w:val="600"/>
        </w:trPr>
        <w:tc>
          <w:tcPr>
            <w:tcW w:w="14944" w:type="dxa"/>
            <w:gridSpan w:val="9"/>
            <w:tcBorders>
              <w:top w:val="nil"/>
              <w:left w:val="nil"/>
              <w:bottom w:val="nil"/>
              <w:right w:val="nil"/>
            </w:tcBorders>
            <w:shd w:val="clear" w:color="auto" w:fill="auto"/>
            <w:vAlign w:val="center"/>
            <w:hideMark/>
          </w:tcPr>
          <w:p w14:paraId="2BEEA08C" w14:textId="77777777" w:rsidR="002A1221" w:rsidRPr="002A1221" w:rsidRDefault="002A1221" w:rsidP="002A1221">
            <w:pPr>
              <w:jc w:val="center"/>
              <w:rPr>
                <w:b/>
                <w:bCs/>
                <w:sz w:val="20"/>
                <w:lang w:eastAsia="lt-LT"/>
              </w:rPr>
            </w:pPr>
            <w:r w:rsidRPr="002A1221">
              <w:rPr>
                <w:b/>
                <w:bCs/>
                <w:sz w:val="20"/>
                <w:lang w:eastAsia="lt-LT"/>
              </w:rPr>
              <w:t>LIETUVOS RESPUBLIKOS 2022 METŲ VALSTYBĖS BIUDŽETO LĖŠŲ, SKIRTŲ SAVIVALDYBIŲ BENDROJO UGDYMO MOKYKLŲ TINKLO STIPRINIMO INICIATYVOMS SKATINTI, PANAUDOJIMO ATASKAITA</w:t>
            </w:r>
          </w:p>
        </w:tc>
      </w:tr>
      <w:tr w:rsidR="002A1221" w:rsidRPr="002A1221" w14:paraId="245323C0" w14:textId="77777777" w:rsidTr="002A1221">
        <w:trPr>
          <w:trHeight w:val="315"/>
        </w:trPr>
        <w:tc>
          <w:tcPr>
            <w:tcW w:w="14944" w:type="dxa"/>
            <w:gridSpan w:val="9"/>
            <w:tcBorders>
              <w:top w:val="nil"/>
              <w:left w:val="nil"/>
              <w:bottom w:val="single" w:sz="4" w:space="0" w:color="auto"/>
              <w:right w:val="nil"/>
            </w:tcBorders>
            <w:shd w:val="clear" w:color="auto" w:fill="auto"/>
            <w:noWrap/>
            <w:vAlign w:val="center"/>
            <w:hideMark/>
          </w:tcPr>
          <w:p w14:paraId="0403E41F" w14:textId="77777777" w:rsidR="002A1221" w:rsidRPr="002A1221" w:rsidRDefault="002A1221" w:rsidP="002A1221">
            <w:pPr>
              <w:jc w:val="center"/>
              <w:rPr>
                <w:b/>
                <w:bCs/>
                <w:sz w:val="20"/>
                <w:lang w:eastAsia="lt-LT"/>
              </w:rPr>
            </w:pPr>
            <w:r w:rsidRPr="002A1221">
              <w:rPr>
                <w:b/>
                <w:bCs/>
                <w:sz w:val="20"/>
                <w:lang w:eastAsia="lt-LT"/>
              </w:rPr>
              <w:t> </w:t>
            </w:r>
          </w:p>
        </w:tc>
      </w:tr>
      <w:tr w:rsidR="002A1221" w:rsidRPr="002A1221" w14:paraId="242B9364" w14:textId="77777777" w:rsidTr="002A1221">
        <w:trPr>
          <w:trHeight w:val="315"/>
        </w:trPr>
        <w:tc>
          <w:tcPr>
            <w:tcW w:w="14944" w:type="dxa"/>
            <w:gridSpan w:val="9"/>
            <w:tcBorders>
              <w:top w:val="nil"/>
              <w:left w:val="nil"/>
              <w:bottom w:val="nil"/>
              <w:right w:val="nil"/>
            </w:tcBorders>
            <w:shd w:val="clear" w:color="auto" w:fill="auto"/>
            <w:noWrap/>
            <w:vAlign w:val="center"/>
            <w:hideMark/>
          </w:tcPr>
          <w:p w14:paraId="248F2FDA" w14:textId="77777777" w:rsidR="002A1221" w:rsidRPr="002A1221" w:rsidRDefault="002A1221" w:rsidP="002A1221">
            <w:pPr>
              <w:jc w:val="center"/>
              <w:rPr>
                <w:sz w:val="20"/>
                <w:lang w:eastAsia="lt-LT"/>
              </w:rPr>
            </w:pPr>
            <w:r w:rsidRPr="002A1221">
              <w:rPr>
                <w:sz w:val="20"/>
                <w:lang w:eastAsia="lt-LT"/>
              </w:rPr>
              <w:t>(data)</w:t>
            </w:r>
          </w:p>
        </w:tc>
      </w:tr>
      <w:tr w:rsidR="002A1221" w:rsidRPr="002A1221" w14:paraId="3B505D3E" w14:textId="77777777" w:rsidTr="00E573F2">
        <w:trPr>
          <w:trHeight w:val="315"/>
        </w:trPr>
        <w:tc>
          <w:tcPr>
            <w:tcW w:w="1489" w:type="dxa"/>
            <w:tcBorders>
              <w:top w:val="nil"/>
              <w:left w:val="nil"/>
              <w:bottom w:val="nil"/>
              <w:right w:val="nil"/>
            </w:tcBorders>
            <w:shd w:val="clear" w:color="auto" w:fill="auto"/>
            <w:noWrap/>
            <w:vAlign w:val="center"/>
            <w:hideMark/>
          </w:tcPr>
          <w:p w14:paraId="36C22AF6" w14:textId="77777777" w:rsidR="002A1221" w:rsidRPr="002A1221" w:rsidRDefault="002A1221" w:rsidP="002A1221">
            <w:pPr>
              <w:jc w:val="center"/>
              <w:rPr>
                <w:sz w:val="20"/>
                <w:lang w:eastAsia="lt-LT"/>
              </w:rPr>
            </w:pPr>
          </w:p>
        </w:tc>
        <w:tc>
          <w:tcPr>
            <w:tcW w:w="921" w:type="dxa"/>
            <w:tcBorders>
              <w:top w:val="nil"/>
              <w:left w:val="nil"/>
              <w:bottom w:val="nil"/>
              <w:right w:val="nil"/>
            </w:tcBorders>
            <w:shd w:val="clear" w:color="auto" w:fill="auto"/>
            <w:noWrap/>
            <w:vAlign w:val="bottom"/>
            <w:hideMark/>
          </w:tcPr>
          <w:p w14:paraId="51F6EBB8" w14:textId="77777777" w:rsidR="002A1221" w:rsidRPr="002A1221" w:rsidRDefault="002A1221" w:rsidP="002A1221">
            <w:pPr>
              <w:jc w:val="center"/>
              <w:rPr>
                <w:sz w:val="20"/>
                <w:lang w:eastAsia="lt-LT"/>
              </w:rPr>
            </w:pPr>
          </w:p>
        </w:tc>
        <w:tc>
          <w:tcPr>
            <w:tcW w:w="567" w:type="dxa"/>
            <w:tcBorders>
              <w:top w:val="nil"/>
              <w:left w:val="nil"/>
              <w:bottom w:val="nil"/>
              <w:right w:val="nil"/>
            </w:tcBorders>
            <w:shd w:val="clear" w:color="auto" w:fill="auto"/>
            <w:noWrap/>
            <w:vAlign w:val="bottom"/>
            <w:hideMark/>
          </w:tcPr>
          <w:p w14:paraId="08BDCF35" w14:textId="77777777" w:rsidR="002A1221" w:rsidRPr="002A1221" w:rsidRDefault="002A1221" w:rsidP="002A1221">
            <w:pPr>
              <w:rPr>
                <w:sz w:val="20"/>
                <w:lang w:eastAsia="lt-LT"/>
              </w:rPr>
            </w:pPr>
          </w:p>
        </w:tc>
        <w:tc>
          <w:tcPr>
            <w:tcW w:w="709" w:type="dxa"/>
            <w:tcBorders>
              <w:top w:val="nil"/>
              <w:left w:val="nil"/>
              <w:bottom w:val="nil"/>
              <w:right w:val="nil"/>
            </w:tcBorders>
            <w:shd w:val="clear" w:color="auto" w:fill="auto"/>
            <w:noWrap/>
            <w:vAlign w:val="bottom"/>
            <w:hideMark/>
          </w:tcPr>
          <w:p w14:paraId="74C2E42A" w14:textId="77777777" w:rsidR="002A1221" w:rsidRPr="002A1221" w:rsidRDefault="002A1221" w:rsidP="002A1221">
            <w:pPr>
              <w:rPr>
                <w:sz w:val="20"/>
                <w:lang w:eastAsia="lt-LT"/>
              </w:rPr>
            </w:pPr>
          </w:p>
        </w:tc>
        <w:tc>
          <w:tcPr>
            <w:tcW w:w="1403" w:type="dxa"/>
            <w:tcBorders>
              <w:top w:val="nil"/>
              <w:left w:val="nil"/>
              <w:bottom w:val="nil"/>
              <w:right w:val="nil"/>
            </w:tcBorders>
            <w:shd w:val="clear" w:color="auto" w:fill="auto"/>
            <w:noWrap/>
            <w:vAlign w:val="bottom"/>
            <w:hideMark/>
          </w:tcPr>
          <w:p w14:paraId="73B81D22" w14:textId="77777777" w:rsidR="002A1221" w:rsidRPr="002A1221" w:rsidRDefault="002A1221" w:rsidP="002A1221">
            <w:pPr>
              <w:rPr>
                <w:sz w:val="20"/>
                <w:lang w:eastAsia="lt-LT"/>
              </w:rPr>
            </w:pPr>
          </w:p>
        </w:tc>
        <w:tc>
          <w:tcPr>
            <w:tcW w:w="1205" w:type="dxa"/>
            <w:tcBorders>
              <w:top w:val="nil"/>
              <w:left w:val="nil"/>
              <w:bottom w:val="nil"/>
              <w:right w:val="nil"/>
            </w:tcBorders>
            <w:shd w:val="clear" w:color="auto" w:fill="auto"/>
            <w:noWrap/>
            <w:vAlign w:val="bottom"/>
            <w:hideMark/>
          </w:tcPr>
          <w:p w14:paraId="7942A78C" w14:textId="77777777" w:rsidR="002A1221" w:rsidRPr="002A1221" w:rsidRDefault="002A1221" w:rsidP="002A1221">
            <w:pPr>
              <w:rPr>
                <w:sz w:val="20"/>
                <w:lang w:eastAsia="lt-LT"/>
              </w:rPr>
            </w:pPr>
          </w:p>
        </w:tc>
        <w:tc>
          <w:tcPr>
            <w:tcW w:w="2637" w:type="dxa"/>
            <w:tcBorders>
              <w:top w:val="nil"/>
              <w:left w:val="nil"/>
              <w:bottom w:val="nil"/>
              <w:right w:val="nil"/>
            </w:tcBorders>
            <w:shd w:val="clear" w:color="auto" w:fill="auto"/>
            <w:noWrap/>
            <w:vAlign w:val="bottom"/>
            <w:hideMark/>
          </w:tcPr>
          <w:p w14:paraId="0D228BFD" w14:textId="77777777" w:rsidR="002A1221" w:rsidRPr="002A1221" w:rsidRDefault="002A1221" w:rsidP="002A1221">
            <w:pPr>
              <w:rPr>
                <w:sz w:val="20"/>
                <w:lang w:eastAsia="lt-LT"/>
              </w:rPr>
            </w:pPr>
          </w:p>
        </w:tc>
        <w:tc>
          <w:tcPr>
            <w:tcW w:w="1220" w:type="dxa"/>
            <w:tcBorders>
              <w:top w:val="nil"/>
              <w:left w:val="nil"/>
              <w:bottom w:val="nil"/>
              <w:right w:val="nil"/>
            </w:tcBorders>
            <w:shd w:val="clear" w:color="auto" w:fill="auto"/>
            <w:noWrap/>
            <w:vAlign w:val="bottom"/>
            <w:hideMark/>
          </w:tcPr>
          <w:p w14:paraId="01613292" w14:textId="77777777" w:rsidR="002A1221" w:rsidRPr="002A1221" w:rsidRDefault="002A1221" w:rsidP="002A1221">
            <w:pPr>
              <w:rPr>
                <w:sz w:val="20"/>
                <w:lang w:eastAsia="lt-LT"/>
              </w:rPr>
            </w:pPr>
          </w:p>
        </w:tc>
        <w:tc>
          <w:tcPr>
            <w:tcW w:w="4793" w:type="dxa"/>
            <w:tcBorders>
              <w:top w:val="nil"/>
              <w:left w:val="nil"/>
              <w:bottom w:val="nil"/>
              <w:right w:val="nil"/>
            </w:tcBorders>
            <w:shd w:val="clear" w:color="auto" w:fill="auto"/>
            <w:noWrap/>
            <w:vAlign w:val="bottom"/>
            <w:hideMark/>
          </w:tcPr>
          <w:p w14:paraId="08DDAD5C" w14:textId="77777777" w:rsidR="002A1221" w:rsidRPr="002A1221" w:rsidRDefault="002A1221" w:rsidP="002A1221">
            <w:pPr>
              <w:rPr>
                <w:sz w:val="20"/>
                <w:lang w:eastAsia="lt-LT"/>
              </w:rPr>
            </w:pPr>
          </w:p>
        </w:tc>
      </w:tr>
      <w:tr w:rsidR="002A1221" w:rsidRPr="002A1221" w14:paraId="2BEB4DD0" w14:textId="77777777" w:rsidTr="002A1221">
        <w:trPr>
          <w:trHeight w:val="315"/>
        </w:trPr>
        <w:tc>
          <w:tcPr>
            <w:tcW w:w="1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15E90F" w14:textId="0665D52B" w:rsidR="002A1221" w:rsidRPr="002A1221" w:rsidRDefault="00E573F2" w:rsidP="002A1221">
            <w:pPr>
              <w:jc w:val="center"/>
              <w:rPr>
                <w:sz w:val="20"/>
                <w:lang w:eastAsia="lt-LT"/>
              </w:rPr>
            </w:pPr>
            <w:r>
              <w:rPr>
                <w:sz w:val="20"/>
                <w:lang w:eastAsia="lt-LT"/>
              </w:rPr>
              <w:t>Mokyklos</w:t>
            </w:r>
            <w:r w:rsidR="002A1221" w:rsidRPr="002A1221">
              <w:rPr>
                <w:sz w:val="20"/>
                <w:lang w:eastAsia="lt-LT"/>
              </w:rPr>
              <w:t xml:space="preserve"> pavadinimas</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9A91DC" w14:textId="77777777" w:rsidR="002A1221" w:rsidRPr="002A1221" w:rsidRDefault="002A1221" w:rsidP="002A1221">
            <w:pPr>
              <w:jc w:val="center"/>
              <w:rPr>
                <w:sz w:val="20"/>
                <w:lang w:eastAsia="lt-LT"/>
              </w:rPr>
            </w:pPr>
            <w:r w:rsidRPr="002A1221">
              <w:rPr>
                <w:sz w:val="20"/>
                <w:lang w:eastAsia="lt-LT"/>
              </w:rPr>
              <w:t>Skirta lėšų, tūkst. Eur</w:t>
            </w:r>
          </w:p>
        </w:tc>
        <w:tc>
          <w:tcPr>
            <w:tcW w:w="12534" w:type="dxa"/>
            <w:gridSpan w:val="7"/>
            <w:tcBorders>
              <w:top w:val="single" w:sz="4" w:space="0" w:color="auto"/>
              <w:left w:val="nil"/>
              <w:bottom w:val="single" w:sz="4" w:space="0" w:color="auto"/>
              <w:right w:val="single" w:sz="4" w:space="0" w:color="auto"/>
            </w:tcBorders>
            <w:shd w:val="clear" w:color="auto" w:fill="auto"/>
            <w:vAlign w:val="center"/>
            <w:hideMark/>
          </w:tcPr>
          <w:p w14:paraId="38DA5B3F" w14:textId="77777777" w:rsidR="002A1221" w:rsidRPr="002A1221" w:rsidRDefault="002A1221" w:rsidP="002A1221">
            <w:pPr>
              <w:jc w:val="center"/>
              <w:rPr>
                <w:sz w:val="20"/>
                <w:lang w:eastAsia="lt-LT"/>
              </w:rPr>
            </w:pPr>
            <w:r w:rsidRPr="002A1221">
              <w:rPr>
                <w:sz w:val="20"/>
                <w:lang w:eastAsia="lt-LT"/>
              </w:rPr>
              <w:t>Panaudota lėšų, tūkst. Eur</w:t>
            </w:r>
          </w:p>
        </w:tc>
      </w:tr>
      <w:tr w:rsidR="002A1221" w:rsidRPr="002A1221" w14:paraId="7797E3DB" w14:textId="77777777" w:rsidTr="00E573F2">
        <w:trPr>
          <w:trHeight w:val="315"/>
        </w:trPr>
        <w:tc>
          <w:tcPr>
            <w:tcW w:w="1489" w:type="dxa"/>
            <w:vMerge/>
            <w:tcBorders>
              <w:top w:val="single" w:sz="4" w:space="0" w:color="auto"/>
              <w:left w:val="single" w:sz="4" w:space="0" w:color="auto"/>
              <w:bottom w:val="single" w:sz="4" w:space="0" w:color="auto"/>
              <w:right w:val="single" w:sz="4" w:space="0" w:color="auto"/>
            </w:tcBorders>
            <w:vAlign w:val="center"/>
            <w:hideMark/>
          </w:tcPr>
          <w:p w14:paraId="7D14FACD" w14:textId="77777777" w:rsidR="002A1221" w:rsidRPr="002A1221" w:rsidRDefault="002A1221" w:rsidP="002A1221">
            <w:pPr>
              <w:rPr>
                <w:sz w:val="20"/>
                <w:lang w:eastAsia="lt-LT"/>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28E68D4D" w14:textId="77777777" w:rsidR="002A1221" w:rsidRPr="002A1221" w:rsidRDefault="002A1221" w:rsidP="002A1221">
            <w:pPr>
              <w:rPr>
                <w:sz w:val="20"/>
                <w:lang w:eastAsia="lt-LT"/>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FC77C25" w14:textId="77777777" w:rsidR="002A1221" w:rsidRPr="002A1221" w:rsidRDefault="002A1221" w:rsidP="002A1221">
            <w:pPr>
              <w:jc w:val="center"/>
              <w:rPr>
                <w:sz w:val="20"/>
                <w:lang w:eastAsia="lt-LT"/>
              </w:rPr>
            </w:pPr>
            <w:r w:rsidRPr="002A1221">
              <w:rPr>
                <w:sz w:val="20"/>
                <w:lang w:eastAsia="lt-LT"/>
              </w:rPr>
              <w:t>iš viso</w:t>
            </w:r>
          </w:p>
        </w:tc>
        <w:tc>
          <w:tcPr>
            <w:tcW w:w="11967" w:type="dxa"/>
            <w:gridSpan w:val="6"/>
            <w:tcBorders>
              <w:top w:val="single" w:sz="4" w:space="0" w:color="auto"/>
              <w:left w:val="nil"/>
              <w:bottom w:val="single" w:sz="4" w:space="0" w:color="auto"/>
              <w:right w:val="single" w:sz="4" w:space="0" w:color="auto"/>
            </w:tcBorders>
            <w:shd w:val="clear" w:color="auto" w:fill="auto"/>
            <w:vAlign w:val="center"/>
            <w:hideMark/>
          </w:tcPr>
          <w:p w14:paraId="12F261A0" w14:textId="77777777" w:rsidR="002A1221" w:rsidRPr="002A1221" w:rsidRDefault="002A1221" w:rsidP="002A1221">
            <w:pPr>
              <w:jc w:val="center"/>
              <w:rPr>
                <w:sz w:val="20"/>
                <w:lang w:eastAsia="lt-LT"/>
              </w:rPr>
            </w:pPr>
            <w:r w:rsidRPr="002A1221">
              <w:rPr>
                <w:sz w:val="20"/>
                <w:lang w:eastAsia="lt-LT"/>
              </w:rPr>
              <w:t>iš jų:</w:t>
            </w:r>
          </w:p>
        </w:tc>
      </w:tr>
      <w:tr w:rsidR="002A1221" w:rsidRPr="002A1221" w14:paraId="1CFC8363" w14:textId="77777777" w:rsidTr="00E573F2">
        <w:trPr>
          <w:trHeight w:val="1759"/>
        </w:trPr>
        <w:tc>
          <w:tcPr>
            <w:tcW w:w="1489" w:type="dxa"/>
            <w:vMerge/>
            <w:tcBorders>
              <w:top w:val="single" w:sz="4" w:space="0" w:color="auto"/>
              <w:left w:val="single" w:sz="4" w:space="0" w:color="auto"/>
              <w:bottom w:val="single" w:sz="4" w:space="0" w:color="auto"/>
              <w:right w:val="single" w:sz="4" w:space="0" w:color="auto"/>
            </w:tcBorders>
            <w:vAlign w:val="center"/>
            <w:hideMark/>
          </w:tcPr>
          <w:p w14:paraId="190D3342" w14:textId="77777777" w:rsidR="002A1221" w:rsidRPr="002A1221" w:rsidRDefault="002A1221" w:rsidP="002A1221">
            <w:pPr>
              <w:rPr>
                <w:sz w:val="20"/>
                <w:lang w:eastAsia="lt-LT"/>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2A7437A1" w14:textId="77777777" w:rsidR="002A1221" w:rsidRPr="002A1221" w:rsidRDefault="002A1221" w:rsidP="002A1221">
            <w:pPr>
              <w:rPr>
                <w:sz w:val="20"/>
                <w:lang w:eastAsia="lt-LT"/>
              </w:rPr>
            </w:pPr>
          </w:p>
        </w:tc>
        <w:tc>
          <w:tcPr>
            <w:tcW w:w="567" w:type="dxa"/>
            <w:vMerge/>
            <w:tcBorders>
              <w:top w:val="nil"/>
              <w:left w:val="single" w:sz="4" w:space="0" w:color="auto"/>
              <w:bottom w:val="single" w:sz="4" w:space="0" w:color="auto"/>
              <w:right w:val="single" w:sz="4" w:space="0" w:color="auto"/>
            </w:tcBorders>
            <w:vAlign w:val="center"/>
            <w:hideMark/>
          </w:tcPr>
          <w:p w14:paraId="4786EE5C" w14:textId="77777777" w:rsidR="002A1221" w:rsidRPr="002A1221" w:rsidRDefault="002A1221" w:rsidP="002A1221">
            <w:pPr>
              <w:rPr>
                <w:sz w:val="20"/>
                <w:lang w:eastAsia="lt-LT"/>
              </w:rPr>
            </w:pPr>
          </w:p>
        </w:tc>
        <w:tc>
          <w:tcPr>
            <w:tcW w:w="5954" w:type="dxa"/>
            <w:gridSpan w:val="4"/>
            <w:tcBorders>
              <w:top w:val="single" w:sz="4" w:space="0" w:color="auto"/>
              <w:left w:val="nil"/>
              <w:bottom w:val="single" w:sz="4" w:space="0" w:color="auto"/>
              <w:right w:val="single" w:sz="4" w:space="0" w:color="auto"/>
            </w:tcBorders>
            <w:shd w:val="clear" w:color="auto" w:fill="auto"/>
            <w:vAlign w:val="center"/>
            <w:hideMark/>
          </w:tcPr>
          <w:p w14:paraId="1E731538" w14:textId="77777777" w:rsidR="002A1221" w:rsidRPr="002A1221" w:rsidRDefault="002A1221" w:rsidP="002A1221">
            <w:pPr>
              <w:jc w:val="center"/>
              <w:rPr>
                <w:sz w:val="20"/>
                <w:lang w:eastAsia="lt-LT"/>
              </w:rPr>
            </w:pPr>
            <w:r w:rsidRPr="002A1221">
              <w:rPr>
                <w:sz w:val="20"/>
                <w:lang w:eastAsia="lt-LT"/>
              </w:rPr>
              <w:t xml:space="preserve">mokinių pavėžėjimui užtikrinti </w:t>
            </w:r>
          </w:p>
        </w:tc>
        <w:tc>
          <w:tcPr>
            <w:tcW w:w="6013" w:type="dxa"/>
            <w:gridSpan w:val="2"/>
            <w:tcBorders>
              <w:top w:val="single" w:sz="4" w:space="0" w:color="auto"/>
              <w:left w:val="nil"/>
              <w:bottom w:val="single" w:sz="4" w:space="0" w:color="auto"/>
              <w:right w:val="single" w:sz="4" w:space="0" w:color="auto"/>
            </w:tcBorders>
            <w:shd w:val="clear" w:color="auto" w:fill="auto"/>
            <w:vAlign w:val="center"/>
            <w:hideMark/>
          </w:tcPr>
          <w:p w14:paraId="4001B7FF" w14:textId="77777777" w:rsidR="002A1221" w:rsidRPr="002A1221" w:rsidRDefault="002A1221" w:rsidP="002A1221">
            <w:pPr>
              <w:jc w:val="center"/>
              <w:rPr>
                <w:sz w:val="20"/>
                <w:lang w:eastAsia="lt-LT"/>
              </w:rPr>
            </w:pPr>
            <w:r w:rsidRPr="002A1221">
              <w:rPr>
                <w:sz w:val="20"/>
                <w:lang w:eastAsia="lt-LT"/>
              </w:rPr>
              <w:t>ugdymo reikmėms, nurodytoms Mokymo lėšų apskaičiavimo, paskirstymo ir panaudojimo tvarkos aprašo, patvirtinto Lietuvos Respublikos Vyriausybės 2018 m. liepos 11 d. nutarimu Nr. 679 „Dėl Mokymo lėšų apskaičiavimo, paskirstymo ir panaudojimo tvarkos aprašo patvirtinimo“, 12.7 papunktyje</w:t>
            </w:r>
          </w:p>
        </w:tc>
      </w:tr>
      <w:tr w:rsidR="002A1221" w:rsidRPr="002A1221" w14:paraId="3E12CA43" w14:textId="77777777" w:rsidTr="00E573F2">
        <w:trPr>
          <w:trHeight w:val="315"/>
        </w:trPr>
        <w:tc>
          <w:tcPr>
            <w:tcW w:w="1489" w:type="dxa"/>
            <w:vMerge/>
            <w:tcBorders>
              <w:top w:val="single" w:sz="4" w:space="0" w:color="auto"/>
              <w:left w:val="single" w:sz="4" w:space="0" w:color="auto"/>
              <w:bottom w:val="single" w:sz="4" w:space="0" w:color="auto"/>
              <w:right w:val="single" w:sz="4" w:space="0" w:color="auto"/>
            </w:tcBorders>
            <w:vAlign w:val="center"/>
            <w:hideMark/>
          </w:tcPr>
          <w:p w14:paraId="1E4926F6" w14:textId="77777777" w:rsidR="002A1221" w:rsidRPr="002A1221" w:rsidRDefault="002A1221" w:rsidP="002A1221">
            <w:pPr>
              <w:rPr>
                <w:sz w:val="20"/>
                <w:lang w:eastAsia="lt-LT"/>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77687578" w14:textId="77777777" w:rsidR="002A1221" w:rsidRPr="002A1221" w:rsidRDefault="002A1221" w:rsidP="002A1221">
            <w:pPr>
              <w:rPr>
                <w:sz w:val="20"/>
                <w:lang w:eastAsia="lt-LT"/>
              </w:rPr>
            </w:pPr>
          </w:p>
        </w:tc>
        <w:tc>
          <w:tcPr>
            <w:tcW w:w="567" w:type="dxa"/>
            <w:vMerge/>
            <w:tcBorders>
              <w:top w:val="nil"/>
              <w:left w:val="single" w:sz="4" w:space="0" w:color="auto"/>
              <w:bottom w:val="single" w:sz="4" w:space="0" w:color="auto"/>
              <w:right w:val="single" w:sz="4" w:space="0" w:color="auto"/>
            </w:tcBorders>
            <w:vAlign w:val="center"/>
            <w:hideMark/>
          </w:tcPr>
          <w:p w14:paraId="7D6F6F15" w14:textId="77777777" w:rsidR="002A1221" w:rsidRPr="002A1221" w:rsidRDefault="002A1221" w:rsidP="002A1221">
            <w:pPr>
              <w:rPr>
                <w:sz w:val="20"/>
                <w:lang w:eastAsia="lt-LT"/>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7056773" w14:textId="77777777" w:rsidR="002A1221" w:rsidRPr="002A1221" w:rsidRDefault="002A1221" w:rsidP="002A1221">
            <w:pPr>
              <w:jc w:val="center"/>
              <w:rPr>
                <w:sz w:val="20"/>
                <w:lang w:eastAsia="lt-LT"/>
              </w:rPr>
            </w:pPr>
            <w:r w:rsidRPr="002A1221">
              <w:rPr>
                <w:sz w:val="20"/>
                <w:lang w:eastAsia="lt-LT"/>
              </w:rPr>
              <w:t>iš viso</w:t>
            </w:r>
          </w:p>
        </w:tc>
        <w:tc>
          <w:tcPr>
            <w:tcW w:w="5245" w:type="dxa"/>
            <w:gridSpan w:val="3"/>
            <w:tcBorders>
              <w:top w:val="single" w:sz="4" w:space="0" w:color="auto"/>
              <w:left w:val="nil"/>
              <w:bottom w:val="single" w:sz="4" w:space="0" w:color="auto"/>
              <w:right w:val="single" w:sz="4" w:space="0" w:color="auto"/>
            </w:tcBorders>
            <w:shd w:val="clear" w:color="auto" w:fill="auto"/>
            <w:vAlign w:val="center"/>
            <w:hideMark/>
          </w:tcPr>
          <w:p w14:paraId="655E7321" w14:textId="77777777" w:rsidR="002A1221" w:rsidRPr="002A1221" w:rsidRDefault="002A1221" w:rsidP="002A1221">
            <w:pPr>
              <w:jc w:val="center"/>
              <w:rPr>
                <w:sz w:val="20"/>
                <w:lang w:eastAsia="lt-LT"/>
              </w:rPr>
            </w:pPr>
            <w:r w:rsidRPr="002A1221">
              <w:rPr>
                <w:sz w:val="20"/>
                <w:lang w:eastAsia="lt-LT"/>
              </w:rPr>
              <w:t>iš jų:</w:t>
            </w:r>
          </w:p>
        </w:tc>
        <w:tc>
          <w:tcPr>
            <w:tcW w:w="1220" w:type="dxa"/>
            <w:vMerge w:val="restart"/>
            <w:tcBorders>
              <w:top w:val="nil"/>
              <w:left w:val="single" w:sz="4" w:space="0" w:color="auto"/>
              <w:right w:val="single" w:sz="4" w:space="0" w:color="auto"/>
            </w:tcBorders>
            <w:shd w:val="clear" w:color="auto" w:fill="auto"/>
            <w:vAlign w:val="center"/>
            <w:hideMark/>
          </w:tcPr>
          <w:p w14:paraId="73739659" w14:textId="77777777" w:rsidR="002A1221" w:rsidRPr="002A1221" w:rsidRDefault="002A1221" w:rsidP="002A1221">
            <w:pPr>
              <w:jc w:val="center"/>
              <w:rPr>
                <w:sz w:val="20"/>
                <w:lang w:eastAsia="lt-LT"/>
              </w:rPr>
            </w:pPr>
            <w:r w:rsidRPr="002A1221">
              <w:rPr>
                <w:sz w:val="20"/>
                <w:lang w:eastAsia="lt-LT"/>
              </w:rPr>
              <w:t>iš viso</w:t>
            </w:r>
          </w:p>
        </w:tc>
        <w:tc>
          <w:tcPr>
            <w:tcW w:w="4793" w:type="dxa"/>
            <w:vMerge w:val="restart"/>
            <w:tcBorders>
              <w:top w:val="nil"/>
              <w:left w:val="single" w:sz="4" w:space="0" w:color="auto"/>
              <w:right w:val="single" w:sz="4" w:space="0" w:color="auto"/>
            </w:tcBorders>
            <w:shd w:val="clear" w:color="auto" w:fill="auto"/>
            <w:vAlign w:val="center"/>
            <w:hideMark/>
          </w:tcPr>
          <w:p w14:paraId="345BBA9C" w14:textId="77777777" w:rsidR="002A1221" w:rsidRPr="002A1221" w:rsidRDefault="002A1221" w:rsidP="002A1221">
            <w:pPr>
              <w:jc w:val="center"/>
              <w:rPr>
                <w:sz w:val="20"/>
                <w:lang w:eastAsia="lt-LT"/>
              </w:rPr>
            </w:pPr>
            <w:r w:rsidRPr="002A1221">
              <w:rPr>
                <w:sz w:val="20"/>
                <w:lang w:eastAsia="lt-LT"/>
              </w:rPr>
              <w:t xml:space="preserve">informacija apie priemones, kurioms panaudotos lėšos (pvz., tam tikrų pedagoginių darbuotojų darbo užmokesčiui, mokinių iš nepalankios socialinės, ekonominės ir kultūrinės aplinkos mokymosi skirtumams sumažinti ir kt.) </w:t>
            </w:r>
          </w:p>
        </w:tc>
      </w:tr>
      <w:tr w:rsidR="002A1221" w:rsidRPr="002A1221" w14:paraId="704CC44E" w14:textId="77777777" w:rsidTr="00E573F2">
        <w:trPr>
          <w:trHeight w:val="1249"/>
        </w:trPr>
        <w:tc>
          <w:tcPr>
            <w:tcW w:w="1489" w:type="dxa"/>
            <w:vMerge/>
            <w:tcBorders>
              <w:top w:val="single" w:sz="4" w:space="0" w:color="auto"/>
              <w:left w:val="single" w:sz="4" w:space="0" w:color="auto"/>
              <w:bottom w:val="single" w:sz="4" w:space="0" w:color="auto"/>
              <w:right w:val="single" w:sz="4" w:space="0" w:color="auto"/>
            </w:tcBorders>
            <w:vAlign w:val="center"/>
            <w:hideMark/>
          </w:tcPr>
          <w:p w14:paraId="71E65324" w14:textId="77777777" w:rsidR="002A1221" w:rsidRPr="002A1221" w:rsidRDefault="002A1221" w:rsidP="002A1221">
            <w:pPr>
              <w:rPr>
                <w:sz w:val="20"/>
                <w:lang w:eastAsia="lt-LT"/>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2C106E03" w14:textId="77777777" w:rsidR="002A1221" w:rsidRPr="002A1221" w:rsidRDefault="002A1221" w:rsidP="002A1221">
            <w:pPr>
              <w:rPr>
                <w:sz w:val="20"/>
                <w:lang w:eastAsia="lt-LT"/>
              </w:rPr>
            </w:pPr>
          </w:p>
        </w:tc>
        <w:tc>
          <w:tcPr>
            <w:tcW w:w="567" w:type="dxa"/>
            <w:vMerge/>
            <w:tcBorders>
              <w:top w:val="nil"/>
              <w:left w:val="single" w:sz="4" w:space="0" w:color="auto"/>
              <w:bottom w:val="single" w:sz="4" w:space="0" w:color="auto"/>
              <w:right w:val="single" w:sz="4" w:space="0" w:color="auto"/>
            </w:tcBorders>
            <w:vAlign w:val="center"/>
            <w:hideMark/>
          </w:tcPr>
          <w:p w14:paraId="0D592C27" w14:textId="77777777" w:rsidR="002A1221" w:rsidRPr="002A1221" w:rsidRDefault="002A1221" w:rsidP="002A1221">
            <w:pPr>
              <w:rPr>
                <w:sz w:val="20"/>
                <w:lang w:eastAsia="lt-LT"/>
              </w:rPr>
            </w:pPr>
          </w:p>
        </w:tc>
        <w:tc>
          <w:tcPr>
            <w:tcW w:w="709" w:type="dxa"/>
            <w:vMerge/>
            <w:tcBorders>
              <w:top w:val="nil"/>
              <w:left w:val="single" w:sz="4" w:space="0" w:color="auto"/>
              <w:bottom w:val="single" w:sz="4" w:space="0" w:color="auto"/>
              <w:right w:val="single" w:sz="4" w:space="0" w:color="auto"/>
            </w:tcBorders>
            <w:vAlign w:val="center"/>
            <w:hideMark/>
          </w:tcPr>
          <w:p w14:paraId="30FF9D73" w14:textId="77777777" w:rsidR="002A1221" w:rsidRPr="002A1221" w:rsidRDefault="002A1221" w:rsidP="002A1221">
            <w:pPr>
              <w:rPr>
                <w:sz w:val="20"/>
                <w:lang w:eastAsia="lt-LT"/>
              </w:rPr>
            </w:pPr>
          </w:p>
        </w:tc>
        <w:tc>
          <w:tcPr>
            <w:tcW w:w="1403" w:type="dxa"/>
            <w:tcBorders>
              <w:top w:val="nil"/>
              <w:left w:val="nil"/>
              <w:bottom w:val="single" w:sz="4" w:space="0" w:color="auto"/>
              <w:right w:val="single" w:sz="4" w:space="0" w:color="auto"/>
            </w:tcBorders>
            <w:shd w:val="clear" w:color="auto" w:fill="auto"/>
            <w:vAlign w:val="center"/>
            <w:hideMark/>
          </w:tcPr>
          <w:p w14:paraId="594810FA" w14:textId="77777777" w:rsidR="002A1221" w:rsidRPr="002A1221" w:rsidRDefault="002A1221" w:rsidP="002A1221">
            <w:pPr>
              <w:jc w:val="center"/>
              <w:rPr>
                <w:sz w:val="20"/>
                <w:lang w:eastAsia="lt-LT"/>
              </w:rPr>
            </w:pPr>
            <w:r w:rsidRPr="002A1221">
              <w:rPr>
                <w:sz w:val="20"/>
                <w:lang w:eastAsia="lt-LT"/>
              </w:rPr>
              <w:t>transporto priemonėms įsigyti</w:t>
            </w:r>
          </w:p>
        </w:tc>
        <w:tc>
          <w:tcPr>
            <w:tcW w:w="1205" w:type="dxa"/>
            <w:tcBorders>
              <w:top w:val="nil"/>
              <w:left w:val="nil"/>
              <w:bottom w:val="single" w:sz="4" w:space="0" w:color="auto"/>
              <w:right w:val="single" w:sz="4" w:space="0" w:color="auto"/>
            </w:tcBorders>
            <w:shd w:val="clear" w:color="auto" w:fill="auto"/>
            <w:vAlign w:val="center"/>
            <w:hideMark/>
          </w:tcPr>
          <w:p w14:paraId="3CC03C9C" w14:textId="77777777" w:rsidR="002A1221" w:rsidRPr="002A1221" w:rsidRDefault="002A1221" w:rsidP="002A1221">
            <w:pPr>
              <w:jc w:val="center"/>
              <w:rPr>
                <w:sz w:val="20"/>
                <w:lang w:eastAsia="lt-LT"/>
              </w:rPr>
            </w:pPr>
            <w:r w:rsidRPr="002A1221">
              <w:rPr>
                <w:sz w:val="20"/>
                <w:lang w:eastAsia="lt-LT"/>
              </w:rPr>
              <w:t>kitoms priemonėms</w:t>
            </w:r>
          </w:p>
        </w:tc>
        <w:tc>
          <w:tcPr>
            <w:tcW w:w="2637" w:type="dxa"/>
            <w:tcBorders>
              <w:top w:val="nil"/>
              <w:left w:val="nil"/>
              <w:bottom w:val="single" w:sz="4" w:space="0" w:color="auto"/>
              <w:right w:val="single" w:sz="4" w:space="0" w:color="auto"/>
            </w:tcBorders>
            <w:shd w:val="clear" w:color="auto" w:fill="auto"/>
            <w:vAlign w:val="center"/>
            <w:hideMark/>
          </w:tcPr>
          <w:p w14:paraId="35E1F4D4" w14:textId="77777777" w:rsidR="002A1221" w:rsidRPr="002A1221" w:rsidRDefault="002A1221" w:rsidP="002A1221">
            <w:pPr>
              <w:jc w:val="center"/>
              <w:rPr>
                <w:sz w:val="20"/>
                <w:lang w:eastAsia="lt-LT"/>
              </w:rPr>
            </w:pPr>
            <w:r w:rsidRPr="002A1221">
              <w:rPr>
                <w:sz w:val="20"/>
                <w:lang w:eastAsia="lt-LT"/>
              </w:rPr>
              <w:t xml:space="preserve">informacija apie priemones, kurioms panaudotos lėšos (pvz., kiek ir kokių transporto priemonių įsigyta, kokios kitos priemonės taikytos) </w:t>
            </w:r>
          </w:p>
        </w:tc>
        <w:tc>
          <w:tcPr>
            <w:tcW w:w="1220" w:type="dxa"/>
            <w:vMerge/>
            <w:tcBorders>
              <w:left w:val="single" w:sz="4" w:space="0" w:color="auto"/>
              <w:bottom w:val="single" w:sz="4" w:space="0" w:color="auto"/>
              <w:right w:val="single" w:sz="4" w:space="0" w:color="auto"/>
            </w:tcBorders>
            <w:vAlign w:val="center"/>
            <w:hideMark/>
          </w:tcPr>
          <w:p w14:paraId="387A3FC9" w14:textId="77777777" w:rsidR="002A1221" w:rsidRPr="002A1221" w:rsidRDefault="002A1221" w:rsidP="002A1221">
            <w:pPr>
              <w:rPr>
                <w:sz w:val="20"/>
                <w:lang w:eastAsia="lt-LT"/>
              </w:rPr>
            </w:pPr>
          </w:p>
        </w:tc>
        <w:tc>
          <w:tcPr>
            <w:tcW w:w="4793" w:type="dxa"/>
            <w:vMerge/>
            <w:tcBorders>
              <w:left w:val="single" w:sz="4" w:space="0" w:color="auto"/>
              <w:bottom w:val="single" w:sz="4" w:space="0" w:color="auto"/>
              <w:right w:val="single" w:sz="4" w:space="0" w:color="auto"/>
            </w:tcBorders>
            <w:vAlign w:val="center"/>
            <w:hideMark/>
          </w:tcPr>
          <w:p w14:paraId="44EDC288" w14:textId="77777777" w:rsidR="002A1221" w:rsidRPr="002A1221" w:rsidRDefault="002A1221" w:rsidP="002A1221">
            <w:pPr>
              <w:rPr>
                <w:sz w:val="20"/>
                <w:lang w:eastAsia="lt-LT"/>
              </w:rPr>
            </w:pPr>
          </w:p>
        </w:tc>
      </w:tr>
      <w:tr w:rsidR="002A1221" w:rsidRPr="002A1221" w14:paraId="1EC70A7E" w14:textId="77777777" w:rsidTr="00E573F2">
        <w:trPr>
          <w:trHeight w:val="315"/>
        </w:trPr>
        <w:tc>
          <w:tcPr>
            <w:tcW w:w="1489" w:type="dxa"/>
            <w:tcBorders>
              <w:top w:val="nil"/>
              <w:left w:val="single" w:sz="4" w:space="0" w:color="auto"/>
              <w:bottom w:val="single" w:sz="4" w:space="0" w:color="auto"/>
              <w:right w:val="single" w:sz="4" w:space="0" w:color="auto"/>
            </w:tcBorders>
            <w:shd w:val="clear" w:color="auto" w:fill="auto"/>
            <w:vAlign w:val="center"/>
            <w:hideMark/>
          </w:tcPr>
          <w:p w14:paraId="4C13C990" w14:textId="77777777" w:rsidR="002A1221" w:rsidRPr="002A1221" w:rsidRDefault="002A1221" w:rsidP="002A1221">
            <w:pPr>
              <w:rPr>
                <w:sz w:val="20"/>
                <w:lang w:eastAsia="lt-LT"/>
              </w:rPr>
            </w:pPr>
            <w:r w:rsidRPr="002A1221">
              <w:rPr>
                <w:sz w:val="20"/>
                <w:lang w:eastAsia="lt-LT"/>
              </w:rPr>
              <w:t> </w:t>
            </w:r>
          </w:p>
        </w:tc>
        <w:tc>
          <w:tcPr>
            <w:tcW w:w="921" w:type="dxa"/>
            <w:tcBorders>
              <w:top w:val="nil"/>
              <w:left w:val="nil"/>
              <w:bottom w:val="single" w:sz="4" w:space="0" w:color="auto"/>
              <w:right w:val="single" w:sz="4" w:space="0" w:color="auto"/>
            </w:tcBorders>
            <w:shd w:val="clear" w:color="auto" w:fill="auto"/>
            <w:noWrap/>
            <w:vAlign w:val="center"/>
            <w:hideMark/>
          </w:tcPr>
          <w:p w14:paraId="2E288270" w14:textId="77777777" w:rsidR="002A1221" w:rsidRPr="002A1221" w:rsidRDefault="002A1221" w:rsidP="002A1221">
            <w:pPr>
              <w:jc w:val="right"/>
              <w:rPr>
                <w:sz w:val="20"/>
                <w:lang w:eastAsia="lt-LT"/>
              </w:rPr>
            </w:pPr>
            <w:r w:rsidRPr="002A1221">
              <w:rPr>
                <w:sz w:val="20"/>
                <w:lang w:eastAsia="lt-LT"/>
              </w:rPr>
              <w:t> </w:t>
            </w:r>
          </w:p>
        </w:tc>
        <w:tc>
          <w:tcPr>
            <w:tcW w:w="567" w:type="dxa"/>
            <w:tcBorders>
              <w:top w:val="nil"/>
              <w:left w:val="nil"/>
              <w:bottom w:val="single" w:sz="4" w:space="0" w:color="auto"/>
              <w:right w:val="single" w:sz="4" w:space="0" w:color="auto"/>
            </w:tcBorders>
            <w:shd w:val="clear" w:color="auto" w:fill="auto"/>
            <w:noWrap/>
            <w:vAlign w:val="center"/>
            <w:hideMark/>
          </w:tcPr>
          <w:p w14:paraId="6320D675" w14:textId="77777777" w:rsidR="002A1221" w:rsidRPr="002A1221" w:rsidRDefault="002A1221" w:rsidP="002A1221">
            <w:pPr>
              <w:jc w:val="right"/>
              <w:rPr>
                <w:sz w:val="20"/>
                <w:lang w:eastAsia="lt-LT"/>
              </w:rPr>
            </w:pPr>
            <w:r w:rsidRPr="002A1221">
              <w:rPr>
                <w:sz w:val="20"/>
                <w:lang w:eastAsia="lt-LT"/>
              </w:rPr>
              <w:t> </w:t>
            </w:r>
          </w:p>
        </w:tc>
        <w:tc>
          <w:tcPr>
            <w:tcW w:w="709" w:type="dxa"/>
            <w:tcBorders>
              <w:top w:val="nil"/>
              <w:left w:val="nil"/>
              <w:bottom w:val="single" w:sz="4" w:space="0" w:color="auto"/>
              <w:right w:val="single" w:sz="4" w:space="0" w:color="auto"/>
            </w:tcBorders>
            <w:shd w:val="clear" w:color="auto" w:fill="auto"/>
            <w:noWrap/>
            <w:vAlign w:val="center"/>
            <w:hideMark/>
          </w:tcPr>
          <w:p w14:paraId="7DD02330" w14:textId="77777777" w:rsidR="002A1221" w:rsidRPr="002A1221" w:rsidRDefault="002A1221" w:rsidP="002A1221">
            <w:pPr>
              <w:jc w:val="right"/>
              <w:rPr>
                <w:sz w:val="20"/>
                <w:lang w:eastAsia="lt-LT"/>
              </w:rPr>
            </w:pPr>
            <w:r w:rsidRPr="002A1221">
              <w:rPr>
                <w:sz w:val="20"/>
                <w:lang w:eastAsia="lt-LT"/>
              </w:rPr>
              <w:t> </w:t>
            </w:r>
          </w:p>
        </w:tc>
        <w:tc>
          <w:tcPr>
            <w:tcW w:w="1403" w:type="dxa"/>
            <w:tcBorders>
              <w:top w:val="nil"/>
              <w:left w:val="nil"/>
              <w:bottom w:val="single" w:sz="4" w:space="0" w:color="auto"/>
              <w:right w:val="single" w:sz="4" w:space="0" w:color="auto"/>
            </w:tcBorders>
            <w:shd w:val="clear" w:color="auto" w:fill="auto"/>
            <w:noWrap/>
            <w:vAlign w:val="center"/>
            <w:hideMark/>
          </w:tcPr>
          <w:p w14:paraId="34E2DCBA" w14:textId="77777777" w:rsidR="002A1221" w:rsidRPr="002A1221" w:rsidRDefault="002A1221" w:rsidP="002A1221">
            <w:pPr>
              <w:jc w:val="right"/>
              <w:rPr>
                <w:sz w:val="20"/>
                <w:lang w:eastAsia="lt-LT"/>
              </w:rPr>
            </w:pPr>
            <w:r w:rsidRPr="002A1221">
              <w:rPr>
                <w:sz w:val="20"/>
                <w:lang w:eastAsia="lt-LT"/>
              </w:rPr>
              <w:t> </w:t>
            </w:r>
          </w:p>
        </w:tc>
        <w:tc>
          <w:tcPr>
            <w:tcW w:w="1205" w:type="dxa"/>
            <w:tcBorders>
              <w:top w:val="nil"/>
              <w:left w:val="nil"/>
              <w:bottom w:val="single" w:sz="4" w:space="0" w:color="auto"/>
              <w:right w:val="single" w:sz="4" w:space="0" w:color="auto"/>
            </w:tcBorders>
            <w:shd w:val="clear" w:color="auto" w:fill="auto"/>
            <w:noWrap/>
            <w:vAlign w:val="center"/>
            <w:hideMark/>
          </w:tcPr>
          <w:p w14:paraId="7E3AA1CF" w14:textId="77777777" w:rsidR="002A1221" w:rsidRPr="002A1221" w:rsidRDefault="002A1221" w:rsidP="002A1221">
            <w:pPr>
              <w:jc w:val="right"/>
              <w:rPr>
                <w:sz w:val="20"/>
                <w:lang w:eastAsia="lt-LT"/>
              </w:rPr>
            </w:pPr>
            <w:r w:rsidRPr="002A1221">
              <w:rPr>
                <w:sz w:val="20"/>
                <w:lang w:eastAsia="lt-LT"/>
              </w:rPr>
              <w:t> </w:t>
            </w:r>
          </w:p>
        </w:tc>
        <w:tc>
          <w:tcPr>
            <w:tcW w:w="2637" w:type="dxa"/>
            <w:tcBorders>
              <w:top w:val="nil"/>
              <w:left w:val="nil"/>
              <w:bottom w:val="single" w:sz="4" w:space="0" w:color="auto"/>
              <w:right w:val="single" w:sz="4" w:space="0" w:color="auto"/>
            </w:tcBorders>
            <w:shd w:val="clear" w:color="auto" w:fill="auto"/>
            <w:vAlign w:val="center"/>
            <w:hideMark/>
          </w:tcPr>
          <w:p w14:paraId="2A5E8507" w14:textId="77777777" w:rsidR="002A1221" w:rsidRPr="002A1221" w:rsidRDefault="002A1221" w:rsidP="002A1221">
            <w:pPr>
              <w:rPr>
                <w:sz w:val="20"/>
                <w:lang w:eastAsia="lt-LT"/>
              </w:rPr>
            </w:pPr>
            <w:r w:rsidRPr="002A1221">
              <w:rPr>
                <w:sz w:val="20"/>
                <w:lang w:eastAsia="lt-LT"/>
              </w:rPr>
              <w:t> </w:t>
            </w:r>
          </w:p>
        </w:tc>
        <w:tc>
          <w:tcPr>
            <w:tcW w:w="1220" w:type="dxa"/>
            <w:tcBorders>
              <w:top w:val="nil"/>
              <w:left w:val="nil"/>
              <w:bottom w:val="single" w:sz="4" w:space="0" w:color="auto"/>
              <w:right w:val="single" w:sz="4" w:space="0" w:color="auto"/>
            </w:tcBorders>
            <w:shd w:val="clear" w:color="auto" w:fill="auto"/>
            <w:noWrap/>
            <w:vAlign w:val="center"/>
            <w:hideMark/>
          </w:tcPr>
          <w:p w14:paraId="072216B8" w14:textId="77777777" w:rsidR="002A1221" w:rsidRPr="002A1221" w:rsidRDefault="002A1221" w:rsidP="002A1221">
            <w:pPr>
              <w:jc w:val="right"/>
              <w:rPr>
                <w:sz w:val="20"/>
                <w:lang w:eastAsia="lt-LT"/>
              </w:rPr>
            </w:pPr>
            <w:r w:rsidRPr="002A1221">
              <w:rPr>
                <w:sz w:val="20"/>
                <w:lang w:eastAsia="lt-LT"/>
              </w:rPr>
              <w:t> </w:t>
            </w:r>
          </w:p>
        </w:tc>
        <w:tc>
          <w:tcPr>
            <w:tcW w:w="4793" w:type="dxa"/>
            <w:tcBorders>
              <w:top w:val="nil"/>
              <w:left w:val="nil"/>
              <w:bottom w:val="single" w:sz="4" w:space="0" w:color="auto"/>
              <w:right w:val="single" w:sz="4" w:space="0" w:color="auto"/>
            </w:tcBorders>
            <w:shd w:val="clear" w:color="auto" w:fill="auto"/>
            <w:vAlign w:val="center"/>
            <w:hideMark/>
          </w:tcPr>
          <w:p w14:paraId="41CE34A9" w14:textId="77777777" w:rsidR="002A1221" w:rsidRPr="002A1221" w:rsidRDefault="002A1221" w:rsidP="002A1221">
            <w:pPr>
              <w:rPr>
                <w:sz w:val="20"/>
                <w:lang w:eastAsia="lt-LT"/>
              </w:rPr>
            </w:pPr>
            <w:r w:rsidRPr="002A1221">
              <w:rPr>
                <w:sz w:val="20"/>
                <w:lang w:eastAsia="lt-LT"/>
              </w:rPr>
              <w:t> </w:t>
            </w:r>
          </w:p>
        </w:tc>
      </w:tr>
      <w:tr w:rsidR="002A1221" w:rsidRPr="002A1221" w14:paraId="493805E5" w14:textId="77777777" w:rsidTr="00E573F2">
        <w:trPr>
          <w:trHeight w:val="300"/>
        </w:trPr>
        <w:tc>
          <w:tcPr>
            <w:tcW w:w="1489" w:type="dxa"/>
            <w:tcBorders>
              <w:top w:val="nil"/>
              <w:left w:val="nil"/>
              <w:bottom w:val="nil"/>
              <w:right w:val="nil"/>
            </w:tcBorders>
            <w:shd w:val="clear" w:color="auto" w:fill="auto"/>
            <w:noWrap/>
            <w:vAlign w:val="bottom"/>
            <w:hideMark/>
          </w:tcPr>
          <w:p w14:paraId="54EA481B" w14:textId="77777777" w:rsidR="002A1221" w:rsidRPr="002A1221" w:rsidRDefault="002A1221" w:rsidP="002A1221">
            <w:pPr>
              <w:rPr>
                <w:sz w:val="20"/>
                <w:lang w:eastAsia="lt-LT"/>
              </w:rPr>
            </w:pPr>
          </w:p>
        </w:tc>
        <w:tc>
          <w:tcPr>
            <w:tcW w:w="921" w:type="dxa"/>
            <w:tcBorders>
              <w:top w:val="nil"/>
              <w:left w:val="nil"/>
              <w:bottom w:val="nil"/>
              <w:right w:val="nil"/>
            </w:tcBorders>
            <w:shd w:val="clear" w:color="auto" w:fill="auto"/>
            <w:noWrap/>
            <w:vAlign w:val="bottom"/>
            <w:hideMark/>
          </w:tcPr>
          <w:p w14:paraId="3ADD26D3" w14:textId="77777777" w:rsidR="002A1221" w:rsidRPr="002A1221" w:rsidRDefault="002A1221" w:rsidP="002A1221">
            <w:pPr>
              <w:rPr>
                <w:sz w:val="20"/>
                <w:lang w:eastAsia="lt-LT"/>
              </w:rPr>
            </w:pPr>
          </w:p>
        </w:tc>
        <w:tc>
          <w:tcPr>
            <w:tcW w:w="567" w:type="dxa"/>
            <w:tcBorders>
              <w:top w:val="nil"/>
              <w:left w:val="nil"/>
              <w:bottom w:val="nil"/>
              <w:right w:val="nil"/>
            </w:tcBorders>
            <w:shd w:val="clear" w:color="auto" w:fill="auto"/>
            <w:noWrap/>
            <w:vAlign w:val="bottom"/>
            <w:hideMark/>
          </w:tcPr>
          <w:p w14:paraId="51273F86" w14:textId="77777777" w:rsidR="002A1221" w:rsidRPr="002A1221" w:rsidRDefault="002A1221" w:rsidP="002A1221">
            <w:pPr>
              <w:rPr>
                <w:sz w:val="20"/>
                <w:lang w:eastAsia="lt-LT"/>
              </w:rPr>
            </w:pPr>
          </w:p>
        </w:tc>
        <w:tc>
          <w:tcPr>
            <w:tcW w:w="709" w:type="dxa"/>
            <w:tcBorders>
              <w:top w:val="nil"/>
              <w:left w:val="nil"/>
              <w:bottom w:val="nil"/>
              <w:right w:val="nil"/>
            </w:tcBorders>
            <w:shd w:val="clear" w:color="auto" w:fill="auto"/>
            <w:noWrap/>
            <w:vAlign w:val="bottom"/>
            <w:hideMark/>
          </w:tcPr>
          <w:p w14:paraId="69BCCD78" w14:textId="77777777" w:rsidR="002A1221" w:rsidRPr="002A1221" w:rsidRDefault="002A1221" w:rsidP="002A1221">
            <w:pPr>
              <w:rPr>
                <w:sz w:val="20"/>
                <w:lang w:eastAsia="lt-LT"/>
              </w:rPr>
            </w:pPr>
          </w:p>
        </w:tc>
        <w:tc>
          <w:tcPr>
            <w:tcW w:w="1403" w:type="dxa"/>
            <w:tcBorders>
              <w:top w:val="nil"/>
              <w:left w:val="nil"/>
              <w:bottom w:val="nil"/>
              <w:right w:val="nil"/>
            </w:tcBorders>
            <w:shd w:val="clear" w:color="auto" w:fill="auto"/>
            <w:noWrap/>
            <w:vAlign w:val="bottom"/>
            <w:hideMark/>
          </w:tcPr>
          <w:p w14:paraId="0B2373FA" w14:textId="77777777" w:rsidR="002A1221" w:rsidRPr="002A1221" w:rsidRDefault="002A1221" w:rsidP="002A1221">
            <w:pPr>
              <w:rPr>
                <w:sz w:val="20"/>
                <w:lang w:eastAsia="lt-LT"/>
              </w:rPr>
            </w:pPr>
          </w:p>
        </w:tc>
        <w:tc>
          <w:tcPr>
            <w:tcW w:w="1205" w:type="dxa"/>
            <w:tcBorders>
              <w:top w:val="nil"/>
              <w:left w:val="nil"/>
              <w:bottom w:val="nil"/>
              <w:right w:val="nil"/>
            </w:tcBorders>
            <w:shd w:val="clear" w:color="auto" w:fill="auto"/>
            <w:noWrap/>
            <w:vAlign w:val="bottom"/>
            <w:hideMark/>
          </w:tcPr>
          <w:p w14:paraId="6A24E934" w14:textId="77777777" w:rsidR="002A1221" w:rsidRPr="002A1221" w:rsidRDefault="002A1221" w:rsidP="002A1221">
            <w:pPr>
              <w:rPr>
                <w:sz w:val="20"/>
                <w:lang w:eastAsia="lt-LT"/>
              </w:rPr>
            </w:pPr>
          </w:p>
        </w:tc>
        <w:tc>
          <w:tcPr>
            <w:tcW w:w="2637" w:type="dxa"/>
            <w:tcBorders>
              <w:top w:val="nil"/>
              <w:left w:val="nil"/>
              <w:bottom w:val="nil"/>
              <w:right w:val="nil"/>
            </w:tcBorders>
            <w:shd w:val="clear" w:color="auto" w:fill="auto"/>
            <w:noWrap/>
            <w:vAlign w:val="bottom"/>
            <w:hideMark/>
          </w:tcPr>
          <w:p w14:paraId="25135040" w14:textId="77777777" w:rsidR="002A1221" w:rsidRPr="002A1221" w:rsidRDefault="002A1221" w:rsidP="002A1221">
            <w:pPr>
              <w:rPr>
                <w:sz w:val="20"/>
                <w:lang w:eastAsia="lt-LT"/>
              </w:rPr>
            </w:pPr>
          </w:p>
        </w:tc>
        <w:tc>
          <w:tcPr>
            <w:tcW w:w="1220" w:type="dxa"/>
            <w:tcBorders>
              <w:top w:val="nil"/>
              <w:left w:val="nil"/>
              <w:bottom w:val="nil"/>
              <w:right w:val="nil"/>
            </w:tcBorders>
            <w:shd w:val="clear" w:color="auto" w:fill="auto"/>
            <w:noWrap/>
            <w:vAlign w:val="bottom"/>
            <w:hideMark/>
          </w:tcPr>
          <w:p w14:paraId="70FA715A" w14:textId="77777777" w:rsidR="002A1221" w:rsidRPr="002A1221" w:rsidRDefault="002A1221" w:rsidP="002A1221">
            <w:pPr>
              <w:rPr>
                <w:sz w:val="20"/>
                <w:lang w:eastAsia="lt-LT"/>
              </w:rPr>
            </w:pPr>
          </w:p>
        </w:tc>
        <w:tc>
          <w:tcPr>
            <w:tcW w:w="4793" w:type="dxa"/>
            <w:tcBorders>
              <w:top w:val="nil"/>
              <w:left w:val="nil"/>
              <w:bottom w:val="nil"/>
              <w:right w:val="nil"/>
            </w:tcBorders>
            <w:shd w:val="clear" w:color="auto" w:fill="auto"/>
            <w:noWrap/>
            <w:vAlign w:val="bottom"/>
            <w:hideMark/>
          </w:tcPr>
          <w:p w14:paraId="52DB7C2F" w14:textId="77777777" w:rsidR="002A1221" w:rsidRPr="002A1221" w:rsidRDefault="002A1221" w:rsidP="002A1221">
            <w:pPr>
              <w:rPr>
                <w:sz w:val="20"/>
                <w:lang w:eastAsia="lt-LT"/>
              </w:rPr>
            </w:pPr>
          </w:p>
        </w:tc>
      </w:tr>
      <w:tr w:rsidR="002A1221" w:rsidRPr="002A1221" w14:paraId="0D3747FD" w14:textId="77777777" w:rsidTr="002A1221">
        <w:trPr>
          <w:trHeight w:val="315"/>
        </w:trPr>
        <w:tc>
          <w:tcPr>
            <w:tcW w:w="14944" w:type="dxa"/>
            <w:gridSpan w:val="9"/>
            <w:tcBorders>
              <w:top w:val="nil"/>
              <w:left w:val="single" w:sz="4" w:space="0" w:color="auto"/>
              <w:bottom w:val="single" w:sz="4" w:space="0" w:color="auto"/>
              <w:right w:val="single" w:sz="4" w:space="0" w:color="auto"/>
            </w:tcBorders>
            <w:shd w:val="clear" w:color="auto" w:fill="auto"/>
            <w:vAlign w:val="center"/>
            <w:hideMark/>
          </w:tcPr>
          <w:p w14:paraId="0546EE79" w14:textId="77777777" w:rsidR="002A1221" w:rsidRPr="002A1221" w:rsidRDefault="002A1221" w:rsidP="002A1221">
            <w:pPr>
              <w:rPr>
                <w:sz w:val="20"/>
                <w:lang w:eastAsia="lt-LT"/>
              </w:rPr>
            </w:pPr>
            <w:r w:rsidRPr="002A1221">
              <w:rPr>
                <w:sz w:val="20"/>
                <w:lang w:eastAsia="lt-LT"/>
              </w:rPr>
              <w:t> </w:t>
            </w:r>
          </w:p>
        </w:tc>
      </w:tr>
      <w:tr w:rsidR="002A1221" w:rsidRPr="002A1221" w14:paraId="2B19B30F" w14:textId="77777777" w:rsidTr="002A1221">
        <w:trPr>
          <w:trHeight w:val="312"/>
        </w:trPr>
        <w:tc>
          <w:tcPr>
            <w:tcW w:w="14944" w:type="dxa"/>
            <w:gridSpan w:val="9"/>
            <w:tcBorders>
              <w:top w:val="nil"/>
              <w:left w:val="nil"/>
              <w:bottom w:val="nil"/>
              <w:right w:val="nil"/>
            </w:tcBorders>
            <w:shd w:val="clear" w:color="auto" w:fill="auto"/>
            <w:vAlign w:val="center"/>
            <w:hideMark/>
          </w:tcPr>
          <w:p w14:paraId="1CD178F3" w14:textId="61F51776" w:rsidR="002A1221" w:rsidRPr="002A1221" w:rsidRDefault="002A1221" w:rsidP="002A1221">
            <w:pPr>
              <w:rPr>
                <w:sz w:val="20"/>
                <w:lang w:eastAsia="lt-LT"/>
              </w:rPr>
            </w:pPr>
            <w:r w:rsidRPr="002A1221">
              <w:rPr>
                <w:sz w:val="20"/>
                <w:lang w:eastAsia="lt-LT"/>
              </w:rPr>
              <w:t>(</w:t>
            </w:r>
            <w:r w:rsidR="00E573F2">
              <w:rPr>
                <w:sz w:val="20"/>
                <w:lang w:eastAsia="lt-LT"/>
              </w:rPr>
              <w:t xml:space="preserve">mokyklos </w:t>
            </w:r>
            <w:r w:rsidRPr="002A1221">
              <w:rPr>
                <w:sz w:val="20"/>
                <w:lang w:eastAsia="lt-LT"/>
              </w:rPr>
              <w:t>atsakingo darbuotojo pareigos, vardas, pavardė, tel., el. p.)</w:t>
            </w:r>
          </w:p>
        </w:tc>
      </w:tr>
    </w:tbl>
    <w:p w14:paraId="13F70372" w14:textId="77777777" w:rsidR="00C14DC1" w:rsidRDefault="00C14DC1" w:rsidP="00C14DC1">
      <w:pPr>
        <w:jc w:val="center"/>
        <w:rPr>
          <w:b/>
        </w:rPr>
      </w:pPr>
    </w:p>
    <w:p w14:paraId="064BDA59" w14:textId="77777777" w:rsidR="004B1158" w:rsidRDefault="004B1158" w:rsidP="00C14DC1">
      <w:pPr>
        <w:jc w:val="center"/>
        <w:rPr>
          <w:b/>
        </w:rPr>
      </w:pPr>
    </w:p>
    <w:p w14:paraId="27044912" w14:textId="77777777" w:rsidR="004B1158" w:rsidRPr="00C14DC1" w:rsidRDefault="004B1158" w:rsidP="00C14DC1">
      <w:pPr>
        <w:jc w:val="center"/>
        <w:rPr>
          <w:b/>
        </w:rPr>
      </w:pPr>
      <w:r>
        <w:rPr>
          <w:b/>
        </w:rPr>
        <w:t>__________________________</w:t>
      </w:r>
    </w:p>
    <w:sectPr w:rsidR="004B1158" w:rsidRPr="00C14DC1" w:rsidSect="002A1221">
      <w:type w:val="continuous"/>
      <w:pgSz w:w="16838" w:h="11906" w:orient="landscape"/>
      <w:pgMar w:top="1276" w:right="1276" w:bottom="709"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7C47" w14:textId="77777777" w:rsidR="00433B7D" w:rsidRDefault="00433B7D">
      <w:r>
        <w:separator/>
      </w:r>
    </w:p>
  </w:endnote>
  <w:endnote w:type="continuationSeparator" w:id="0">
    <w:p w14:paraId="2B4257E4" w14:textId="77777777" w:rsidR="00433B7D" w:rsidRDefault="0043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E610A" w14:textId="77777777" w:rsidR="00433B7D" w:rsidRDefault="00433B7D">
      <w:r>
        <w:separator/>
      </w:r>
    </w:p>
  </w:footnote>
  <w:footnote w:type="continuationSeparator" w:id="0">
    <w:p w14:paraId="6DCEADCE" w14:textId="77777777" w:rsidR="00433B7D" w:rsidRDefault="00433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CE32" w14:textId="77777777" w:rsidR="00E01CDC" w:rsidRDefault="00E01CDC">
    <w:pPr>
      <w:pStyle w:val="Antrats"/>
      <w:rPr>
        <w:b/>
      </w:rPr>
    </w:pPr>
    <w:r>
      <w:tab/>
    </w:r>
    <w:r>
      <w:tab/>
      <w:t xml:space="preserve">   </w:t>
    </w:r>
  </w:p>
  <w:p w14:paraId="30A608B1" w14:textId="77777777" w:rsidR="00E01CDC" w:rsidRDefault="00E01CD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BA61981"/>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009CC"/>
    <w:multiLevelType w:val="hybridMultilevel"/>
    <w:tmpl w:val="FFA612E2"/>
    <w:lvl w:ilvl="0" w:tplc="99ACD9BE">
      <w:start w:val="1"/>
      <w:numFmt w:val="upperRoman"/>
      <w:lvlText w:val="%1."/>
      <w:lvlJc w:val="left"/>
      <w:pPr>
        <w:ind w:left="1080" w:hanging="720"/>
      </w:pPr>
      <w:rPr>
        <w:rFonts w:eastAsia="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DB52680"/>
    <w:multiLevelType w:val="multilevel"/>
    <w:tmpl w:val="7284D0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507147E0"/>
    <w:multiLevelType w:val="hybridMultilevel"/>
    <w:tmpl w:val="614E5E6C"/>
    <w:lvl w:ilvl="0" w:tplc="04270001">
      <w:start w:val="2019"/>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F260D26"/>
    <w:multiLevelType w:val="hybridMultilevel"/>
    <w:tmpl w:val="107A9F3C"/>
    <w:lvl w:ilvl="0" w:tplc="A06E35B0">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675E3EEF"/>
    <w:multiLevelType w:val="multilevel"/>
    <w:tmpl w:val="332EFA14"/>
    <w:lvl w:ilvl="0">
      <w:start w:val="1"/>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702A3DBD"/>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0671903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973380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7386023">
    <w:abstractNumId w:val="9"/>
  </w:num>
  <w:num w:numId="4" w16cid:durableId="17972288">
    <w:abstractNumId w:val="8"/>
  </w:num>
  <w:num w:numId="5" w16cid:durableId="1723334745">
    <w:abstractNumId w:val="1"/>
  </w:num>
  <w:num w:numId="6" w16cid:durableId="1409621566">
    <w:abstractNumId w:val="5"/>
  </w:num>
  <w:num w:numId="7" w16cid:durableId="1410270612">
    <w:abstractNumId w:val="12"/>
  </w:num>
  <w:num w:numId="8" w16cid:durableId="374741559">
    <w:abstractNumId w:val="3"/>
  </w:num>
  <w:num w:numId="9" w16cid:durableId="507211027">
    <w:abstractNumId w:val="13"/>
  </w:num>
  <w:num w:numId="10" w16cid:durableId="71590443">
    <w:abstractNumId w:val="7"/>
  </w:num>
  <w:num w:numId="11" w16cid:durableId="415975025">
    <w:abstractNumId w:val="2"/>
  </w:num>
  <w:num w:numId="12" w16cid:durableId="1484588086">
    <w:abstractNumId w:val="14"/>
  </w:num>
  <w:num w:numId="13" w16cid:durableId="1743868135">
    <w:abstractNumId w:val="11"/>
  </w:num>
  <w:num w:numId="14" w16cid:durableId="531263007">
    <w:abstractNumId w:val="10"/>
  </w:num>
  <w:num w:numId="15" w16cid:durableId="1908301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F40"/>
    <w:rsid w:val="00003A47"/>
    <w:rsid w:val="00006FAD"/>
    <w:rsid w:val="00017EAD"/>
    <w:rsid w:val="00022BAD"/>
    <w:rsid w:val="000243E4"/>
    <w:rsid w:val="000421EC"/>
    <w:rsid w:val="00061589"/>
    <w:rsid w:val="00061E0A"/>
    <w:rsid w:val="00065A3B"/>
    <w:rsid w:val="000679FA"/>
    <w:rsid w:val="00071EAE"/>
    <w:rsid w:val="00074B8B"/>
    <w:rsid w:val="0009014E"/>
    <w:rsid w:val="00093E18"/>
    <w:rsid w:val="00094BCF"/>
    <w:rsid w:val="000A2EE5"/>
    <w:rsid w:val="000B00D7"/>
    <w:rsid w:val="000B5679"/>
    <w:rsid w:val="000B7B24"/>
    <w:rsid w:val="000C5C88"/>
    <w:rsid w:val="00106CDC"/>
    <w:rsid w:val="001102C3"/>
    <w:rsid w:val="001107AE"/>
    <w:rsid w:val="001244C3"/>
    <w:rsid w:val="0013226F"/>
    <w:rsid w:val="00132E61"/>
    <w:rsid w:val="00133C09"/>
    <w:rsid w:val="00136025"/>
    <w:rsid w:val="00136C46"/>
    <w:rsid w:val="001379AB"/>
    <w:rsid w:val="00171374"/>
    <w:rsid w:val="00182249"/>
    <w:rsid w:val="00184B6C"/>
    <w:rsid w:val="00193618"/>
    <w:rsid w:val="00195894"/>
    <w:rsid w:val="0019674C"/>
    <w:rsid w:val="00196C5B"/>
    <w:rsid w:val="001A0DCB"/>
    <w:rsid w:val="001A364E"/>
    <w:rsid w:val="001A5CF7"/>
    <w:rsid w:val="001B1115"/>
    <w:rsid w:val="001B62DE"/>
    <w:rsid w:val="001C2B68"/>
    <w:rsid w:val="001C3A9B"/>
    <w:rsid w:val="001D372D"/>
    <w:rsid w:val="001D7100"/>
    <w:rsid w:val="001E2034"/>
    <w:rsid w:val="001F5C39"/>
    <w:rsid w:val="00212E7F"/>
    <w:rsid w:val="00213BEE"/>
    <w:rsid w:val="00214772"/>
    <w:rsid w:val="002173B2"/>
    <w:rsid w:val="0022180D"/>
    <w:rsid w:val="002265A3"/>
    <w:rsid w:val="00230E49"/>
    <w:rsid w:val="002314AE"/>
    <w:rsid w:val="00231BE6"/>
    <w:rsid w:val="00236A12"/>
    <w:rsid w:val="002426F7"/>
    <w:rsid w:val="00243BC1"/>
    <w:rsid w:val="00243BED"/>
    <w:rsid w:val="00245B16"/>
    <w:rsid w:val="002466D9"/>
    <w:rsid w:val="002479E4"/>
    <w:rsid w:val="00261274"/>
    <w:rsid w:val="00265B4A"/>
    <w:rsid w:val="00267617"/>
    <w:rsid w:val="0027758E"/>
    <w:rsid w:val="00287287"/>
    <w:rsid w:val="00291C61"/>
    <w:rsid w:val="002A10FC"/>
    <w:rsid w:val="002A1221"/>
    <w:rsid w:val="002B0948"/>
    <w:rsid w:val="002C5F2F"/>
    <w:rsid w:val="002C6571"/>
    <w:rsid w:val="002F0857"/>
    <w:rsid w:val="002F590F"/>
    <w:rsid w:val="00300288"/>
    <w:rsid w:val="0030551C"/>
    <w:rsid w:val="00310AB3"/>
    <w:rsid w:val="00313EE5"/>
    <w:rsid w:val="00320D5D"/>
    <w:rsid w:val="00325084"/>
    <w:rsid w:val="003269D5"/>
    <w:rsid w:val="00333E18"/>
    <w:rsid w:val="00345F5D"/>
    <w:rsid w:val="0036045E"/>
    <w:rsid w:val="00367B52"/>
    <w:rsid w:val="00381D97"/>
    <w:rsid w:val="00383E5C"/>
    <w:rsid w:val="00385AD5"/>
    <w:rsid w:val="00387708"/>
    <w:rsid w:val="00391744"/>
    <w:rsid w:val="0039216E"/>
    <w:rsid w:val="00392A19"/>
    <w:rsid w:val="00397938"/>
    <w:rsid w:val="003A37D1"/>
    <w:rsid w:val="003A4007"/>
    <w:rsid w:val="003A5601"/>
    <w:rsid w:val="003A7B13"/>
    <w:rsid w:val="003B4F06"/>
    <w:rsid w:val="003B5018"/>
    <w:rsid w:val="003C08D3"/>
    <w:rsid w:val="003C120C"/>
    <w:rsid w:val="003C1471"/>
    <w:rsid w:val="003D1B35"/>
    <w:rsid w:val="003D2E04"/>
    <w:rsid w:val="003D33BB"/>
    <w:rsid w:val="003D6D34"/>
    <w:rsid w:val="003E1601"/>
    <w:rsid w:val="003E4975"/>
    <w:rsid w:val="003E7B71"/>
    <w:rsid w:val="0040368B"/>
    <w:rsid w:val="004137EE"/>
    <w:rsid w:val="00413E64"/>
    <w:rsid w:val="0042044A"/>
    <w:rsid w:val="00424B42"/>
    <w:rsid w:val="00433B7D"/>
    <w:rsid w:val="004405B4"/>
    <w:rsid w:val="00450C3B"/>
    <w:rsid w:val="00462C24"/>
    <w:rsid w:val="00464C98"/>
    <w:rsid w:val="004735A4"/>
    <w:rsid w:val="00474F10"/>
    <w:rsid w:val="00482003"/>
    <w:rsid w:val="004849A8"/>
    <w:rsid w:val="004859F2"/>
    <w:rsid w:val="00496533"/>
    <w:rsid w:val="004A50AC"/>
    <w:rsid w:val="004B1158"/>
    <w:rsid w:val="004C0639"/>
    <w:rsid w:val="004D4C25"/>
    <w:rsid w:val="004E2CB3"/>
    <w:rsid w:val="004E6C78"/>
    <w:rsid w:val="004E7BB7"/>
    <w:rsid w:val="005314DF"/>
    <w:rsid w:val="00532781"/>
    <w:rsid w:val="00541451"/>
    <w:rsid w:val="00543B10"/>
    <w:rsid w:val="005445B5"/>
    <w:rsid w:val="005450F1"/>
    <w:rsid w:val="00550B95"/>
    <w:rsid w:val="005546E5"/>
    <w:rsid w:val="005626DA"/>
    <w:rsid w:val="0056413D"/>
    <w:rsid w:val="00564D0A"/>
    <w:rsid w:val="005771AA"/>
    <w:rsid w:val="00586949"/>
    <w:rsid w:val="00591345"/>
    <w:rsid w:val="00592A79"/>
    <w:rsid w:val="00597BA4"/>
    <w:rsid w:val="005A253B"/>
    <w:rsid w:val="005B3856"/>
    <w:rsid w:val="005B4486"/>
    <w:rsid w:val="005B76BA"/>
    <w:rsid w:val="005C490F"/>
    <w:rsid w:val="005C57DF"/>
    <w:rsid w:val="005D34AF"/>
    <w:rsid w:val="005D372C"/>
    <w:rsid w:val="005D5312"/>
    <w:rsid w:val="005E476A"/>
    <w:rsid w:val="005F4D75"/>
    <w:rsid w:val="005F5350"/>
    <w:rsid w:val="005F71E2"/>
    <w:rsid w:val="00601BFC"/>
    <w:rsid w:val="006073EC"/>
    <w:rsid w:val="006113BA"/>
    <w:rsid w:val="00614510"/>
    <w:rsid w:val="00620A12"/>
    <w:rsid w:val="0062441B"/>
    <w:rsid w:val="00624CAC"/>
    <w:rsid w:val="006271C4"/>
    <w:rsid w:val="006318D3"/>
    <w:rsid w:val="00637C95"/>
    <w:rsid w:val="00646AC5"/>
    <w:rsid w:val="0065348C"/>
    <w:rsid w:val="006565F0"/>
    <w:rsid w:val="0066204D"/>
    <w:rsid w:val="0067077B"/>
    <w:rsid w:val="00674D03"/>
    <w:rsid w:val="006776A8"/>
    <w:rsid w:val="006B7EC8"/>
    <w:rsid w:val="006C0F3E"/>
    <w:rsid w:val="006C43A0"/>
    <w:rsid w:val="006C74AB"/>
    <w:rsid w:val="006D04FA"/>
    <w:rsid w:val="006D2AC5"/>
    <w:rsid w:val="006E29CF"/>
    <w:rsid w:val="006E63A9"/>
    <w:rsid w:val="006F7949"/>
    <w:rsid w:val="007009A1"/>
    <w:rsid w:val="00705A48"/>
    <w:rsid w:val="0071171A"/>
    <w:rsid w:val="00711769"/>
    <w:rsid w:val="00717F54"/>
    <w:rsid w:val="00722876"/>
    <w:rsid w:val="007253D0"/>
    <w:rsid w:val="007352CD"/>
    <w:rsid w:val="00735E9F"/>
    <w:rsid w:val="007462FE"/>
    <w:rsid w:val="00760BD5"/>
    <w:rsid w:val="00763C00"/>
    <w:rsid w:val="0076481B"/>
    <w:rsid w:val="00770B4C"/>
    <w:rsid w:val="0077384F"/>
    <w:rsid w:val="007759D7"/>
    <w:rsid w:val="00777DC4"/>
    <w:rsid w:val="00782C22"/>
    <w:rsid w:val="007852DD"/>
    <w:rsid w:val="00786D35"/>
    <w:rsid w:val="007A3E97"/>
    <w:rsid w:val="007A49C5"/>
    <w:rsid w:val="007A667D"/>
    <w:rsid w:val="007B2A1D"/>
    <w:rsid w:val="007C58C1"/>
    <w:rsid w:val="007D4BE0"/>
    <w:rsid w:val="007D5514"/>
    <w:rsid w:val="007D7281"/>
    <w:rsid w:val="007E2DA8"/>
    <w:rsid w:val="007E3156"/>
    <w:rsid w:val="008014E2"/>
    <w:rsid w:val="00805E79"/>
    <w:rsid w:val="00814FC0"/>
    <w:rsid w:val="00836AA3"/>
    <w:rsid w:val="00851507"/>
    <w:rsid w:val="008520E7"/>
    <w:rsid w:val="008552FD"/>
    <w:rsid w:val="00864B08"/>
    <w:rsid w:val="00892FC6"/>
    <w:rsid w:val="00897EB0"/>
    <w:rsid w:val="008A07D9"/>
    <w:rsid w:val="008A6696"/>
    <w:rsid w:val="008A68D2"/>
    <w:rsid w:val="008C296B"/>
    <w:rsid w:val="008D1A73"/>
    <w:rsid w:val="008D2745"/>
    <w:rsid w:val="008D3264"/>
    <w:rsid w:val="008D4108"/>
    <w:rsid w:val="008D4C17"/>
    <w:rsid w:val="008D63C4"/>
    <w:rsid w:val="008D7CF2"/>
    <w:rsid w:val="008E30E2"/>
    <w:rsid w:val="008E3453"/>
    <w:rsid w:val="008E5AF3"/>
    <w:rsid w:val="008E7F84"/>
    <w:rsid w:val="008F047A"/>
    <w:rsid w:val="008F47AC"/>
    <w:rsid w:val="008F5A67"/>
    <w:rsid w:val="00902918"/>
    <w:rsid w:val="00905191"/>
    <w:rsid w:val="00905B41"/>
    <w:rsid w:val="009073DA"/>
    <w:rsid w:val="00913948"/>
    <w:rsid w:val="00915BE4"/>
    <w:rsid w:val="00916D44"/>
    <w:rsid w:val="009217F2"/>
    <w:rsid w:val="009263CC"/>
    <w:rsid w:val="00926439"/>
    <w:rsid w:val="009267DB"/>
    <w:rsid w:val="00927156"/>
    <w:rsid w:val="00931E2E"/>
    <w:rsid w:val="0094106B"/>
    <w:rsid w:val="0094162F"/>
    <w:rsid w:val="00944AFB"/>
    <w:rsid w:val="00946D49"/>
    <w:rsid w:val="0094772F"/>
    <w:rsid w:val="00955D9D"/>
    <w:rsid w:val="009629CF"/>
    <w:rsid w:val="00964982"/>
    <w:rsid w:val="00965F29"/>
    <w:rsid w:val="009712AD"/>
    <w:rsid w:val="00973F3F"/>
    <w:rsid w:val="00980355"/>
    <w:rsid w:val="0099301D"/>
    <w:rsid w:val="00996955"/>
    <w:rsid w:val="009A099D"/>
    <w:rsid w:val="009B5F30"/>
    <w:rsid w:val="009C0592"/>
    <w:rsid w:val="009C44F1"/>
    <w:rsid w:val="009D112C"/>
    <w:rsid w:val="009D1E93"/>
    <w:rsid w:val="009E055F"/>
    <w:rsid w:val="009F2E8B"/>
    <w:rsid w:val="00A05D8A"/>
    <w:rsid w:val="00A110F0"/>
    <w:rsid w:val="00A207C3"/>
    <w:rsid w:val="00A23DE4"/>
    <w:rsid w:val="00A23F82"/>
    <w:rsid w:val="00A25446"/>
    <w:rsid w:val="00A33662"/>
    <w:rsid w:val="00A36389"/>
    <w:rsid w:val="00A42A3E"/>
    <w:rsid w:val="00A61381"/>
    <w:rsid w:val="00A64B0F"/>
    <w:rsid w:val="00A7422B"/>
    <w:rsid w:val="00A74925"/>
    <w:rsid w:val="00A8401D"/>
    <w:rsid w:val="00A90329"/>
    <w:rsid w:val="00A90DDC"/>
    <w:rsid w:val="00A93ECD"/>
    <w:rsid w:val="00A9430D"/>
    <w:rsid w:val="00A9456C"/>
    <w:rsid w:val="00A95BB6"/>
    <w:rsid w:val="00A97B0F"/>
    <w:rsid w:val="00AA4A4D"/>
    <w:rsid w:val="00AA75A1"/>
    <w:rsid w:val="00AB02A9"/>
    <w:rsid w:val="00AB09E0"/>
    <w:rsid w:val="00AB5186"/>
    <w:rsid w:val="00AB5692"/>
    <w:rsid w:val="00AB5B3F"/>
    <w:rsid w:val="00AC57E4"/>
    <w:rsid w:val="00AD0600"/>
    <w:rsid w:val="00AD5F23"/>
    <w:rsid w:val="00AD745D"/>
    <w:rsid w:val="00AD7FFE"/>
    <w:rsid w:val="00AE3E70"/>
    <w:rsid w:val="00AF5192"/>
    <w:rsid w:val="00AF5916"/>
    <w:rsid w:val="00B0265E"/>
    <w:rsid w:val="00B17A88"/>
    <w:rsid w:val="00B17BAC"/>
    <w:rsid w:val="00B21A21"/>
    <w:rsid w:val="00B27617"/>
    <w:rsid w:val="00B31A4D"/>
    <w:rsid w:val="00B31DF7"/>
    <w:rsid w:val="00B33DAF"/>
    <w:rsid w:val="00B34346"/>
    <w:rsid w:val="00B4287F"/>
    <w:rsid w:val="00B42960"/>
    <w:rsid w:val="00B46DED"/>
    <w:rsid w:val="00B47F91"/>
    <w:rsid w:val="00B502D2"/>
    <w:rsid w:val="00B51062"/>
    <w:rsid w:val="00B52AF3"/>
    <w:rsid w:val="00B5579E"/>
    <w:rsid w:val="00B56DDF"/>
    <w:rsid w:val="00B623E6"/>
    <w:rsid w:val="00B63BF8"/>
    <w:rsid w:val="00B65384"/>
    <w:rsid w:val="00B7152F"/>
    <w:rsid w:val="00B85D06"/>
    <w:rsid w:val="00B8683C"/>
    <w:rsid w:val="00B91283"/>
    <w:rsid w:val="00B93F87"/>
    <w:rsid w:val="00BB356F"/>
    <w:rsid w:val="00BC7A27"/>
    <w:rsid w:val="00BD2136"/>
    <w:rsid w:val="00BF6C83"/>
    <w:rsid w:val="00BF7AE4"/>
    <w:rsid w:val="00C010E9"/>
    <w:rsid w:val="00C01139"/>
    <w:rsid w:val="00C0769A"/>
    <w:rsid w:val="00C11AFE"/>
    <w:rsid w:val="00C14DC1"/>
    <w:rsid w:val="00C22026"/>
    <w:rsid w:val="00C238A9"/>
    <w:rsid w:val="00C24533"/>
    <w:rsid w:val="00C27C57"/>
    <w:rsid w:val="00C30595"/>
    <w:rsid w:val="00C3103B"/>
    <w:rsid w:val="00C45681"/>
    <w:rsid w:val="00C4659C"/>
    <w:rsid w:val="00C47BE5"/>
    <w:rsid w:val="00C52BD1"/>
    <w:rsid w:val="00C5475B"/>
    <w:rsid w:val="00C56F65"/>
    <w:rsid w:val="00C6588F"/>
    <w:rsid w:val="00C67F0D"/>
    <w:rsid w:val="00C70E3F"/>
    <w:rsid w:val="00C72585"/>
    <w:rsid w:val="00C733AE"/>
    <w:rsid w:val="00C775F7"/>
    <w:rsid w:val="00C92D99"/>
    <w:rsid w:val="00CA041B"/>
    <w:rsid w:val="00CA4836"/>
    <w:rsid w:val="00CB1838"/>
    <w:rsid w:val="00CB4B7D"/>
    <w:rsid w:val="00CC1EE6"/>
    <w:rsid w:val="00CC5535"/>
    <w:rsid w:val="00CD2CFD"/>
    <w:rsid w:val="00CD6180"/>
    <w:rsid w:val="00CE4721"/>
    <w:rsid w:val="00CF0A58"/>
    <w:rsid w:val="00D05781"/>
    <w:rsid w:val="00D23DC7"/>
    <w:rsid w:val="00D34E43"/>
    <w:rsid w:val="00D40910"/>
    <w:rsid w:val="00D47257"/>
    <w:rsid w:val="00D55A25"/>
    <w:rsid w:val="00D5785D"/>
    <w:rsid w:val="00D57CC0"/>
    <w:rsid w:val="00D64C37"/>
    <w:rsid w:val="00D7418F"/>
    <w:rsid w:val="00D84A6D"/>
    <w:rsid w:val="00D86A36"/>
    <w:rsid w:val="00D91ACD"/>
    <w:rsid w:val="00DA673C"/>
    <w:rsid w:val="00DA720F"/>
    <w:rsid w:val="00DB2734"/>
    <w:rsid w:val="00DB573D"/>
    <w:rsid w:val="00DC0762"/>
    <w:rsid w:val="00DC128D"/>
    <w:rsid w:val="00DC6A0E"/>
    <w:rsid w:val="00DD04EE"/>
    <w:rsid w:val="00DD071C"/>
    <w:rsid w:val="00DF13D4"/>
    <w:rsid w:val="00DF4902"/>
    <w:rsid w:val="00E01CDC"/>
    <w:rsid w:val="00E01F25"/>
    <w:rsid w:val="00E04B58"/>
    <w:rsid w:val="00E059E7"/>
    <w:rsid w:val="00E11C54"/>
    <w:rsid w:val="00E13E9F"/>
    <w:rsid w:val="00E15890"/>
    <w:rsid w:val="00E26F72"/>
    <w:rsid w:val="00E51759"/>
    <w:rsid w:val="00E52D96"/>
    <w:rsid w:val="00E573F2"/>
    <w:rsid w:val="00E61CCB"/>
    <w:rsid w:val="00E63D44"/>
    <w:rsid w:val="00E703DF"/>
    <w:rsid w:val="00E831A0"/>
    <w:rsid w:val="00E92272"/>
    <w:rsid w:val="00E9237A"/>
    <w:rsid w:val="00E96EC3"/>
    <w:rsid w:val="00EA057D"/>
    <w:rsid w:val="00EA791B"/>
    <w:rsid w:val="00EB6F3A"/>
    <w:rsid w:val="00EC1200"/>
    <w:rsid w:val="00EC1C9B"/>
    <w:rsid w:val="00EC1E7F"/>
    <w:rsid w:val="00ED2F30"/>
    <w:rsid w:val="00ED600A"/>
    <w:rsid w:val="00EE1AA2"/>
    <w:rsid w:val="00EE428A"/>
    <w:rsid w:val="00EF039F"/>
    <w:rsid w:val="00EF36F3"/>
    <w:rsid w:val="00EF5173"/>
    <w:rsid w:val="00F05165"/>
    <w:rsid w:val="00F14935"/>
    <w:rsid w:val="00F266B9"/>
    <w:rsid w:val="00F32178"/>
    <w:rsid w:val="00F36E16"/>
    <w:rsid w:val="00F43106"/>
    <w:rsid w:val="00F56AA2"/>
    <w:rsid w:val="00F6447B"/>
    <w:rsid w:val="00F64E68"/>
    <w:rsid w:val="00F66234"/>
    <w:rsid w:val="00F82492"/>
    <w:rsid w:val="00F95AF0"/>
    <w:rsid w:val="00F96C60"/>
    <w:rsid w:val="00F97C9D"/>
    <w:rsid w:val="00FA66DC"/>
    <w:rsid w:val="00FB7ACE"/>
    <w:rsid w:val="00FC103E"/>
    <w:rsid w:val="00FC354B"/>
    <w:rsid w:val="00FD14EB"/>
    <w:rsid w:val="00FD3C78"/>
    <w:rsid w:val="00FD44F2"/>
    <w:rsid w:val="00FD6810"/>
    <w:rsid w:val="00FD7831"/>
    <w:rsid w:val="00FE0D32"/>
    <w:rsid w:val="00FF3883"/>
    <w:rsid w:val="00FF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DF5E91"/>
  <w15:docId w15:val="{0E3D17F2-133F-4CD5-9695-8D5FB07A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numbering" w:customStyle="1" w:styleId="Sraonra1">
    <w:name w:val="Sąrašo nėra1"/>
    <w:next w:val="Sraonra"/>
    <w:uiPriority w:val="99"/>
    <w:semiHidden/>
    <w:unhideWhenUsed/>
    <w:rsid w:val="004D4C25"/>
  </w:style>
  <w:style w:type="numbering" w:customStyle="1" w:styleId="Sraonra11">
    <w:name w:val="Sąrašo nėra11"/>
    <w:next w:val="Sraonra"/>
    <w:uiPriority w:val="99"/>
    <w:semiHidden/>
    <w:unhideWhenUsed/>
    <w:rsid w:val="004D4C25"/>
  </w:style>
  <w:style w:type="table" w:styleId="Lentelstinklelis">
    <w:name w:val="Table Grid"/>
    <w:basedOn w:val="prastojilentel"/>
    <w:locked/>
    <w:rsid w:val="004D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11">
    <w:name w:val="Sąrašo nėra111"/>
    <w:next w:val="Sraonra"/>
    <w:uiPriority w:val="99"/>
    <w:semiHidden/>
    <w:unhideWhenUsed/>
    <w:rsid w:val="0094162F"/>
  </w:style>
  <w:style w:type="paragraph" w:styleId="Pataisymai">
    <w:name w:val="Revision"/>
    <w:hidden/>
    <w:uiPriority w:val="99"/>
    <w:semiHidden/>
    <w:rsid w:val="003C120C"/>
    <w:rPr>
      <w:sz w:val="24"/>
      <w:szCs w:val="20"/>
      <w:lang w:eastAsia="en-US"/>
    </w:rPr>
  </w:style>
  <w:style w:type="table" w:customStyle="1" w:styleId="Lentelstinklelis1">
    <w:name w:val="Lentelės tinklelis1"/>
    <w:basedOn w:val="prastojilentel"/>
    <w:next w:val="Lentelstinklelis"/>
    <w:uiPriority w:val="39"/>
    <w:rsid w:val="00D55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Numatytasispastraiposriftas"/>
    <w:uiPriority w:val="99"/>
    <w:semiHidden/>
    <w:unhideWhenUsed/>
    <w:rsid w:val="00265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882910124">
      <w:bodyDiv w:val="1"/>
      <w:marLeft w:val="0"/>
      <w:marRight w:val="0"/>
      <w:marTop w:val="0"/>
      <w:marBottom w:val="0"/>
      <w:divBdr>
        <w:top w:val="none" w:sz="0" w:space="0" w:color="auto"/>
        <w:left w:val="none" w:sz="0" w:space="0" w:color="auto"/>
        <w:bottom w:val="none" w:sz="0" w:space="0" w:color="auto"/>
        <w:right w:val="none" w:sz="0" w:space="0" w:color="auto"/>
      </w:divBdr>
    </w:div>
    <w:div w:id="888610918">
      <w:bodyDiv w:val="1"/>
      <w:marLeft w:val="0"/>
      <w:marRight w:val="0"/>
      <w:marTop w:val="0"/>
      <w:marBottom w:val="0"/>
      <w:divBdr>
        <w:top w:val="none" w:sz="0" w:space="0" w:color="auto"/>
        <w:left w:val="none" w:sz="0" w:space="0" w:color="auto"/>
        <w:bottom w:val="none" w:sz="0" w:space="0" w:color="auto"/>
        <w:right w:val="none" w:sz="0" w:space="0" w:color="auto"/>
      </w:divBdr>
    </w:div>
    <w:div w:id="1018699266">
      <w:bodyDiv w:val="1"/>
      <w:marLeft w:val="0"/>
      <w:marRight w:val="0"/>
      <w:marTop w:val="0"/>
      <w:marBottom w:val="0"/>
      <w:divBdr>
        <w:top w:val="none" w:sz="0" w:space="0" w:color="auto"/>
        <w:left w:val="none" w:sz="0" w:space="0" w:color="auto"/>
        <w:bottom w:val="none" w:sz="0" w:space="0" w:color="auto"/>
        <w:right w:val="none" w:sz="0" w:space="0" w:color="auto"/>
      </w:divBdr>
    </w:div>
    <w:div w:id="1066025348">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 w:id="1747453488">
      <w:bodyDiv w:val="1"/>
      <w:marLeft w:val="0"/>
      <w:marRight w:val="0"/>
      <w:marTop w:val="0"/>
      <w:marBottom w:val="0"/>
      <w:divBdr>
        <w:top w:val="none" w:sz="0" w:space="0" w:color="auto"/>
        <w:left w:val="none" w:sz="0" w:space="0" w:color="auto"/>
        <w:bottom w:val="none" w:sz="0" w:space="0" w:color="auto"/>
        <w:right w:val="none" w:sz="0" w:space="0" w:color="auto"/>
      </w:divBdr>
    </w:div>
    <w:div w:id="210029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umentai@pasvalys.l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1705</Words>
  <Characters>12707</Characters>
  <Application>Microsoft Office Word</Application>
  <DocSecurity>0</DocSecurity>
  <Lines>105</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2022-05-19T06:31:00Z</cp:lastPrinted>
  <dcterms:created xsi:type="dcterms:W3CDTF">2022-05-17T08:31:00Z</dcterms:created>
  <dcterms:modified xsi:type="dcterms:W3CDTF">2022-05-19T08:08:00Z</dcterms:modified>
</cp:coreProperties>
</file>